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0"/>
        <w:rPr>
          <w:rFonts w:ascii="Times New Roman"/>
          <w:sz w:val="20"/>
          <w:lang w:eastAsia="zh-CN"/>
        </w:rPr>
      </w:pPr>
    </w:p>
    <w:p w14:paraId="71ACEBD5">
      <w:pPr>
        <w:pStyle w:val="20"/>
        <w:rPr>
          <w:rFonts w:ascii="Times New Roman"/>
          <w:sz w:val="20"/>
        </w:rPr>
      </w:pPr>
    </w:p>
    <w:p w14:paraId="11E04291">
      <w:pPr>
        <w:pStyle w:val="20"/>
        <w:rPr>
          <w:rFonts w:ascii="Times New Roman"/>
          <w:sz w:val="20"/>
        </w:rPr>
      </w:pPr>
    </w:p>
    <w:p w14:paraId="636675A3">
      <w:pPr>
        <w:pStyle w:val="20"/>
        <w:rPr>
          <w:rFonts w:ascii="Times New Roman"/>
          <w:sz w:val="20"/>
        </w:rPr>
      </w:pPr>
    </w:p>
    <w:p w14:paraId="6CBBDA8F">
      <w:pPr>
        <w:pStyle w:val="20"/>
        <w:rPr>
          <w:rFonts w:ascii="Times New Roman"/>
          <w:sz w:val="20"/>
        </w:rPr>
      </w:pPr>
    </w:p>
    <w:p w14:paraId="7DBC92D0">
      <w:pPr>
        <w:pStyle w:val="20"/>
        <w:spacing w:before="5"/>
        <w:rPr>
          <w:rFonts w:ascii="Times New Roman"/>
          <w:sz w:val="20"/>
        </w:rPr>
      </w:pPr>
    </w:p>
    <w:p w14:paraId="465920EF">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553382A0">
      <w:pPr>
        <w:pStyle w:val="20"/>
        <w:jc w:val="center"/>
        <w:rPr>
          <w:rFonts w:ascii="微软雅黑" w:eastAsia="微软雅黑"/>
          <w:b/>
          <w:color w:val="000000" w:themeColor="text1"/>
          <w:sz w:val="52"/>
          <w:szCs w:val="22"/>
          <w:u w:val="single"/>
          <w:lang w:eastAsia="zh-CN"/>
        </w:rPr>
      </w:pPr>
      <w:r>
        <w:rPr>
          <w:rFonts w:ascii="微软雅黑" w:eastAsia="微软雅黑"/>
          <w:b/>
          <w:color w:val="000000" w:themeColor="text1"/>
          <w:sz w:val="52"/>
          <w:szCs w:val="22"/>
          <w:u w:val="single"/>
          <w:lang w:eastAsia="zh-CN"/>
        </w:rPr>
        <w:t>PTA现场人员用房外部爆炸冲击波影响评估技术服务</w:t>
      </w:r>
    </w:p>
    <w:p w14:paraId="1F595A08">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14:paraId="41DFB9F3">
      <w:pPr>
        <w:pStyle w:val="2"/>
        <w:jc w:val="center"/>
        <w:rPr>
          <w:color w:val="000000" w:themeColor="text1"/>
          <w:sz w:val="28"/>
          <w:szCs w:val="28"/>
        </w:rPr>
      </w:pPr>
      <w:r>
        <w:rPr>
          <w:rFonts w:hint="eastAsia"/>
          <w:color w:val="000000" w:themeColor="text1"/>
          <w:sz w:val="28"/>
          <w:szCs w:val="28"/>
        </w:rPr>
        <w:t>（文件编号：</w:t>
      </w:r>
      <w:r>
        <w:rPr>
          <w:color w:val="000000" w:themeColor="text1"/>
          <w:sz w:val="28"/>
          <w:szCs w:val="28"/>
          <w:u w:val="single"/>
        </w:rPr>
        <w:t xml:space="preserve">FAP5-E-CGSQ-202411-001 </w:t>
      </w:r>
      <w:r>
        <w:rPr>
          <w:rFonts w:hint="eastAsia"/>
          <w:color w:val="000000" w:themeColor="text1"/>
          <w:sz w:val="28"/>
          <w:szCs w:val="28"/>
        </w:rPr>
        <w:t xml:space="preserve"> ）</w:t>
      </w:r>
    </w:p>
    <w:p w14:paraId="3EED7F56">
      <w:pPr>
        <w:pStyle w:val="20"/>
        <w:rPr>
          <w:rFonts w:ascii="微软雅黑"/>
          <w:b/>
          <w:sz w:val="94"/>
          <w:lang w:eastAsia="zh-CN"/>
        </w:rPr>
      </w:pPr>
    </w:p>
    <w:p w14:paraId="383ADAD6">
      <w:pPr>
        <w:pStyle w:val="20"/>
        <w:rPr>
          <w:rFonts w:ascii="微软雅黑"/>
          <w:b/>
          <w:sz w:val="94"/>
          <w:lang w:eastAsia="zh-CN"/>
        </w:rPr>
      </w:pPr>
    </w:p>
    <w:p w14:paraId="44EA205B">
      <w:pPr>
        <w:pStyle w:val="20"/>
        <w:rPr>
          <w:rFonts w:ascii="微软雅黑"/>
          <w:b/>
          <w:sz w:val="32"/>
          <w:szCs w:val="32"/>
          <w:lang w:eastAsia="zh-CN"/>
        </w:rPr>
      </w:pPr>
    </w:p>
    <w:p w14:paraId="64E80A04">
      <w:pPr>
        <w:pStyle w:val="20"/>
        <w:rPr>
          <w:rFonts w:ascii="微软雅黑"/>
          <w:b/>
          <w:sz w:val="32"/>
          <w:szCs w:val="32"/>
          <w:lang w:eastAsia="zh-CN"/>
        </w:rPr>
      </w:pPr>
    </w:p>
    <w:p w14:paraId="34D515D1">
      <w:pPr>
        <w:pStyle w:val="20"/>
        <w:rPr>
          <w:rFonts w:ascii="微软雅黑"/>
          <w:b/>
          <w:sz w:val="32"/>
          <w:szCs w:val="32"/>
          <w:lang w:eastAsia="zh-CN"/>
        </w:rPr>
      </w:pPr>
    </w:p>
    <w:p w14:paraId="6DB2CF03">
      <w:pPr>
        <w:pStyle w:val="20"/>
        <w:rPr>
          <w:rFonts w:ascii="微软雅黑"/>
          <w:b/>
          <w:sz w:val="32"/>
          <w:szCs w:val="32"/>
          <w:lang w:eastAsia="zh-CN"/>
        </w:rPr>
      </w:pPr>
    </w:p>
    <w:p w14:paraId="7FBC88FE">
      <w:pPr>
        <w:pStyle w:val="20"/>
        <w:rPr>
          <w:rFonts w:ascii="微软雅黑"/>
          <w:b/>
          <w:sz w:val="32"/>
          <w:szCs w:val="32"/>
          <w:lang w:eastAsia="zh-CN"/>
        </w:rPr>
      </w:pPr>
    </w:p>
    <w:p w14:paraId="7EE06F7B">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二〇二四年十</w:t>
      </w:r>
      <w:r>
        <w:rPr>
          <w:rFonts w:hint="eastAsia" w:ascii="微软雅黑" w:eastAsia="微软雅黑"/>
          <w:b/>
          <w:color w:val="000000" w:themeColor="text1"/>
          <w:w w:val="95"/>
          <w:sz w:val="32"/>
          <w:lang w:val="en-US" w:eastAsia="zh-CN"/>
        </w:rPr>
        <w:t>二</w:t>
      </w:r>
      <w:r>
        <w:rPr>
          <w:rFonts w:hint="eastAsia" w:ascii="微软雅黑" w:eastAsia="微软雅黑"/>
          <w:b/>
          <w:color w:val="000000" w:themeColor="text1"/>
          <w:w w:val="95"/>
          <w:sz w:val="32"/>
          <w:lang w:eastAsia="zh-CN"/>
        </w:rPr>
        <w:t>月</w:t>
      </w:r>
    </w:p>
    <w:p w14:paraId="73C871DE">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0"/>
        <w:rPr>
          <w:rFonts w:ascii="黑体"/>
          <w:sz w:val="20"/>
          <w:lang w:eastAsia="zh-CN"/>
        </w:rPr>
      </w:pPr>
    </w:p>
    <w:p w14:paraId="2601590C">
      <w:pPr>
        <w:pStyle w:val="20"/>
        <w:rPr>
          <w:rFonts w:ascii="黑体"/>
          <w:sz w:val="20"/>
          <w:lang w:eastAsia="zh-CN"/>
        </w:rPr>
      </w:pPr>
    </w:p>
    <w:p w14:paraId="1CC1F056">
      <w:pPr>
        <w:pStyle w:val="20"/>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附件二：参选文件（范本）</w:t>
      </w:r>
    </w:p>
    <w:p w14:paraId="72183002">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0"/>
        <w:numPr>
          <w:ilvl w:val="0"/>
          <w:numId w:val="7"/>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14:paraId="360A3A5D">
      <w:pPr>
        <w:pStyle w:val="2"/>
      </w:pPr>
    </w:p>
    <w:p w14:paraId="416DE451">
      <w:pPr>
        <w:jc w:val="center"/>
        <w:rPr>
          <w:b/>
          <w:bCs/>
          <w:sz w:val="32"/>
          <w:lang w:eastAsia="zh-CN"/>
        </w:rPr>
      </w:pPr>
      <w:r>
        <w:rPr>
          <w:rFonts w:hint="eastAsia"/>
          <w:b/>
          <w:bCs/>
          <w:sz w:val="32"/>
          <w:lang w:eastAsia="zh-CN"/>
        </w:rPr>
        <w:t>福建福海创石油化工有限公司</w:t>
      </w:r>
    </w:p>
    <w:p w14:paraId="498EB32A">
      <w:pPr>
        <w:jc w:val="center"/>
        <w:rPr>
          <w:b/>
          <w:bCs/>
          <w:sz w:val="32"/>
          <w:lang w:eastAsia="zh-CN"/>
        </w:rPr>
      </w:pPr>
      <w:r>
        <w:rPr>
          <w:b/>
          <w:bCs/>
          <w:sz w:val="32"/>
          <w:lang w:eastAsia="zh-CN"/>
        </w:rPr>
        <w:t>PTA现场人员用房外部爆炸冲击波影响评估技术服务</w:t>
      </w:r>
    </w:p>
    <w:p w14:paraId="448318D1">
      <w:pPr>
        <w:jc w:val="center"/>
        <w:rPr>
          <w:b/>
          <w:bCs/>
          <w:sz w:val="32"/>
          <w:lang w:eastAsia="zh-CN"/>
        </w:rPr>
      </w:pPr>
      <w:r>
        <w:rPr>
          <w:rFonts w:hint="eastAsia"/>
          <w:b/>
          <w:bCs/>
          <w:sz w:val="32"/>
          <w:lang w:eastAsia="zh-CN"/>
        </w:rPr>
        <w:t>比选公告</w:t>
      </w:r>
    </w:p>
    <w:p w14:paraId="745BDD3E">
      <w:pPr>
        <w:pStyle w:val="20"/>
        <w:rPr>
          <w:b/>
          <w:sz w:val="28"/>
          <w:lang w:eastAsia="zh-CN"/>
        </w:rPr>
      </w:pPr>
    </w:p>
    <w:p w14:paraId="03439321">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lang w:eastAsia="zh-CN"/>
        </w:rPr>
        <w:t>“</w:t>
      </w:r>
      <w:r>
        <w:rPr>
          <w:color w:val="000000" w:themeColor="text1"/>
          <w:u w:val="single"/>
          <w:lang w:eastAsia="zh-CN"/>
        </w:rPr>
        <w:t>PTA现场人员用房外部爆炸冲击波影响评估技术服务</w:t>
      </w:r>
      <w:r>
        <w:rPr>
          <w:rFonts w:hint="eastAsia"/>
          <w:color w:val="000000" w:themeColor="text1"/>
          <w:u w:val="single"/>
          <w:lang w:eastAsia="zh-CN"/>
        </w:rPr>
        <w:t>（项目编号：</w:t>
      </w:r>
      <w:r>
        <w:rPr>
          <w:color w:val="000000" w:themeColor="text1"/>
          <w:u w:val="single"/>
          <w:lang w:eastAsia="zh-CN"/>
        </w:rPr>
        <w:t>FAP5-E-CGSQ-202411-001</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31896CA9">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w:t>
      </w:r>
      <w:r>
        <w:rPr>
          <w:sz w:val="24"/>
          <w:szCs w:val="24"/>
          <w:lang w:eastAsia="zh-CN"/>
        </w:rPr>
        <w:t>PTA现场人员用房外部爆炸冲击波影响评估技术服务</w:t>
      </w:r>
    </w:p>
    <w:p w14:paraId="45FE95A5">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比选项目简要说明：福海创PTA厂区范围内全部存在可燃物料泄漏和爆炸危害的储运设施，包括储罐、泵或压缩机、管道，以及装卸设施等。</w:t>
      </w:r>
    </w:p>
    <w:p w14:paraId="001A6D82">
      <w:pPr>
        <w:tabs>
          <w:tab w:val="left" w:pos="709"/>
        </w:tabs>
        <w:spacing w:line="360" w:lineRule="auto"/>
        <w:ind w:firstLine="480" w:firstLineChars="200"/>
        <w:rPr>
          <w:sz w:val="24"/>
          <w:szCs w:val="24"/>
          <w:lang w:eastAsia="zh-CN"/>
        </w:rPr>
      </w:pPr>
      <w:r>
        <w:rPr>
          <w:rFonts w:hint="eastAsia"/>
          <w:sz w:val="24"/>
          <w:szCs w:val="24"/>
          <w:lang w:eastAsia="zh-CN"/>
        </w:rPr>
        <w:t>本项目考虑的爆炸后果类型包括蒸气云爆炸、压力容器爆炸、沸腾液体膨胀蒸气爆炸（BLEVE）等，爆炸风险分析应采用基于风险的方法进行分析，计算PTA人员用房的</w:t>
      </w:r>
      <w:bookmarkStart w:id="0" w:name="_Hlk120648461"/>
      <w:r>
        <w:rPr>
          <w:rFonts w:hint="eastAsia"/>
          <w:sz w:val="24"/>
          <w:szCs w:val="24"/>
          <w:lang w:eastAsia="zh-CN"/>
        </w:rPr>
        <w:t>爆炸冲击波峰值入射超压及正压作用时间并明确抗爆要求</w:t>
      </w:r>
      <w:bookmarkEnd w:id="0"/>
      <w:r>
        <w:rPr>
          <w:rFonts w:hint="eastAsia"/>
          <w:sz w:val="24"/>
          <w:szCs w:val="24"/>
          <w:lang w:eastAsia="zh-CN"/>
        </w:rPr>
        <w:t>，为PTA人员用房的抗爆结构设计提供依据。</w:t>
      </w:r>
    </w:p>
    <w:p w14:paraId="10E7CD1A">
      <w:pPr>
        <w:tabs>
          <w:tab w:val="left" w:pos="709"/>
        </w:tabs>
        <w:spacing w:line="360" w:lineRule="auto"/>
        <w:ind w:firstLine="480" w:firstLineChars="200"/>
        <w:rPr>
          <w:sz w:val="24"/>
          <w:szCs w:val="24"/>
          <w:lang w:eastAsia="zh-CN"/>
        </w:rPr>
      </w:pPr>
      <w:r>
        <w:rPr>
          <w:sz w:val="24"/>
          <w:szCs w:val="24"/>
          <w:lang w:eastAsia="zh-CN"/>
        </w:rPr>
        <w:t>3.</w:t>
      </w:r>
      <w:r>
        <w:rPr>
          <w:rFonts w:hint="eastAsia"/>
          <w:sz w:val="24"/>
          <w:szCs w:val="24"/>
          <w:lang w:eastAsia="zh-CN"/>
        </w:rPr>
        <w:t>比选控制价：</w:t>
      </w:r>
      <w:r>
        <w:rPr>
          <w:sz w:val="24"/>
          <w:szCs w:val="24"/>
          <w:lang w:eastAsia="zh-CN"/>
        </w:rPr>
        <w:t>125,000.00元</w:t>
      </w:r>
      <w:r>
        <w:rPr>
          <w:rFonts w:hint="eastAsia"/>
          <w:sz w:val="24"/>
          <w:szCs w:val="24"/>
          <w:lang w:eastAsia="zh-CN"/>
        </w:rPr>
        <w:t>（含6%增值税）</w:t>
      </w:r>
    </w:p>
    <w:p w14:paraId="4E3EE2E0">
      <w:pPr>
        <w:tabs>
          <w:tab w:val="left" w:pos="709"/>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.工期要求</w:t>
      </w:r>
      <w:r>
        <w:rPr>
          <w:rFonts w:hint="eastAsia"/>
          <w:sz w:val="24"/>
          <w:szCs w:val="24"/>
          <w:lang w:eastAsia="zh-CN"/>
        </w:rPr>
        <w:t>：自合同签订之日起</w:t>
      </w:r>
      <w:r>
        <w:rPr>
          <w:sz w:val="24"/>
          <w:szCs w:val="24"/>
          <w:lang w:eastAsia="zh-CN"/>
        </w:rPr>
        <w:t>1</w:t>
      </w:r>
      <w:r>
        <w:rPr>
          <w:rFonts w:hint="eastAsia"/>
          <w:sz w:val="24"/>
          <w:szCs w:val="24"/>
          <w:lang w:eastAsia="zh-CN"/>
        </w:rPr>
        <w:t>0日内完成建筑物抗爆评估，出具建筑物的抗爆设计要求评估数据，2</w:t>
      </w:r>
      <w:r>
        <w:rPr>
          <w:sz w:val="24"/>
          <w:szCs w:val="24"/>
          <w:lang w:eastAsia="zh-CN"/>
        </w:rPr>
        <w:t>0日内出具纸质版评估报告</w:t>
      </w:r>
      <w:r>
        <w:rPr>
          <w:rFonts w:hint="eastAsia"/>
          <w:sz w:val="24"/>
          <w:szCs w:val="24"/>
          <w:lang w:eastAsia="zh-CN"/>
        </w:rPr>
        <w:t>。</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14:paraId="37B27FF0">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p>
    <w:p w14:paraId="55E2DFB8">
      <w:pPr>
        <w:tabs>
          <w:tab w:val="left" w:pos="709"/>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.参选人</w:t>
      </w:r>
      <w:r>
        <w:rPr>
          <w:rFonts w:hint="eastAsia"/>
          <w:sz w:val="24"/>
          <w:szCs w:val="24"/>
          <w:lang w:eastAsia="zh-CN"/>
        </w:rPr>
        <w:t>须使用正版软件(如Safeti、Phast、FLACS等)进行3D爆炸荷载分析，提供相关软件采购合同、发票作为证明文件。</w:t>
      </w:r>
    </w:p>
    <w:p w14:paraId="7BAD8542">
      <w:pPr>
        <w:tabs>
          <w:tab w:val="left" w:pos="709"/>
        </w:tabs>
        <w:spacing w:line="360" w:lineRule="auto"/>
        <w:ind w:firstLine="480" w:firstLineChars="200"/>
        <w:rPr>
          <w:sz w:val="24"/>
          <w:szCs w:val="24"/>
          <w:lang w:eastAsia="zh-CN"/>
        </w:rPr>
      </w:pPr>
      <w:r>
        <w:rPr>
          <w:sz w:val="24"/>
          <w:szCs w:val="24"/>
          <w:lang w:eastAsia="zh-CN"/>
        </w:rPr>
        <w:t>3.参选人</w:t>
      </w:r>
      <w:r>
        <w:rPr>
          <w:rFonts w:hint="eastAsia"/>
          <w:sz w:val="24"/>
          <w:szCs w:val="24"/>
          <w:lang w:eastAsia="zh-CN"/>
        </w:rPr>
        <w:t>爆炸荷载分析人员必须具有5位工程师及以上专业技术职称，并且为公司正式员工，提供12个月以上社保证明。</w:t>
      </w:r>
    </w:p>
    <w:p w14:paraId="1FBACB4C">
      <w:pPr>
        <w:tabs>
          <w:tab w:val="left" w:pos="709"/>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w:t>
      </w:r>
      <w:r>
        <w:rPr>
          <w:rFonts w:hint="eastAsia"/>
          <w:sz w:val="24"/>
          <w:szCs w:val="24"/>
          <w:lang w:eastAsia="zh-CN"/>
        </w:rPr>
        <w:t xml:space="preserve"> 参选人2021年11月1日至2024年10月31日至少完成1个总投资额20亿以上石油化工医药行业项目爆炸冲击波计算模拟业绩，提供合同关键页复印件、体现投资额相关证明文件，合同原件及发票备查。</w:t>
      </w:r>
    </w:p>
    <w:p w14:paraId="560B8A2E">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5</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14:paraId="4ADE3900">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6.与</w:t>
      </w:r>
      <w:r>
        <w:rPr>
          <w:rFonts w:hint="eastAsia"/>
          <w:color w:val="000000" w:themeColor="text1"/>
          <w:sz w:val="24"/>
          <w:szCs w:val="24"/>
          <w:lang w:eastAsia="zh-CN"/>
        </w:rPr>
        <w:t>比选人</w:t>
      </w:r>
      <w:r>
        <w:rPr>
          <w:color w:val="000000" w:themeColor="text1"/>
          <w:sz w:val="24"/>
          <w:szCs w:val="24"/>
          <w:lang w:eastAsia="zh-CN"/>
        </w:rPr>
        <w:t>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1</w:t>
      </w:r>
      <w:r>
        <w:rPr>
          <w:rFonts w:hint="eastAsia"/>
          <w:color w:val="000000" w:themeColor="text1"/>
          <w:sz w:val="24"/>
          <w:szCs w:val="24"/>
          <w:lang w:val="en-US" w:eastAsia="zh-CN"/>
        </w:rPr>
        <w:t>2</w:t>
      </w:r>
      <w:r>
        <w:rPr>
          <w:rFonts w:hint="eastAsia"/>
          <w:color w:val="000000" w:themeColor="text1"/>
          <w:sz w:val="24"/>
          <w:szCs w:val="24"/>
          <w:lang w:eastAsia="zh-CN"/>
        </w:rPr>
        <w:t>月</w:t>
      </w:r>
      <w:r>
        <w:rPr>
          <w:rFonts w:hint="eastAsia"/>
          <w:color w:val="000000" w:themeColor="text1"/>
          <w:sz w:val="24"/>
          <w:szCs w:val="24"/>
          <w:lang w:val="en-US" w:eastAsia="zh-CN"/>
        </w:rPr>
        <w:t>09</w:t>
      </w:r>
      <w:r>
        <w:rPr>
          <w:rFonts w:hint="eastAsia"/>
          <w:color w:val="000000" w:themeColor="text1"/>
          <w:sz w:val="24"/>
          <w:szCs w:val="24"/>
          <w:lang w:eastAsia="zh-CN"/>
        </w:rPr>
        <w:t>日至202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12</w:t>
      </w:r>
      <w:r>
        <w:rPr>
          <w:rFonts w:hint="eastAsia"/>
          <w:color w:val="000000" w:themeColor="text1"/>
          <w:sz w:val="24"/>
          <w:szCs w:val="24"/>
          <w:lang w:eastAsia="zh-CN"/>
        </w:rPr>
        <w:t>月</w:t>
      </w:r>
      <w:r>
        <w:rPr>
          <w:rFonts w:hint="eastAsia"/>
          <w:color w:val="000000" w:themeColor="text1"/>
          <w:sz w:val="24"/>
          <w:szCs w:val="24"/>
          <w:lang w:val="en-US" w:eastAsia="zh-CN"/>
        </w:rPr>
        <w:t>18</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14:paraId="67739B81">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报名方式：参选人在报名时间内将报名文件发送至邮箱hjzhang@fhcpec.com.cn，报名文件包含：</w:t>
      </w:r>
    </w:p>
    <w:p w14:paraId="592198A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14:paraId="0969F85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33B8C6F4">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（3）业绩清单及证明文件（加盖单位公章的扫描件）。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14:paraId="34902C4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21352DBE">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w:t>
      </w:r>
    </w:p>
    <w:p w14:paraId="2DAF9550">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参选文件递交截止时间（以送达时间为准）：202</w:t>
      </w:r>
      <w:r>
        <w:rPr>
          <w:color w:val="000000" w:themeColor="text1"/>
          <w:sz w:val="24"/>
          <w:szCs w:val="24"/>
          <w:lang w:eastAsia="zh-CN"/>
        </w:rPr>
        <w:t>4</w:t>
      </w:r>
      <w:r>
        <w:rPr>
          <w:rFonts w:hint="eastAsia"/>
          <w:color w:val="000000" w:themeColor="text1"/>
          <w:sz w:val="24"/>
          <w:szCs w:val="24"/>
          <w:lang w:eastAsia="zh-CN"/>
        </w:rPr>
        <w:t>年12月</w:t>
      </w:r>
      <w:r>
        <w:rPr>
          <w:rFonts w:hint="eastAsia"/>
          <w:color w:val="000000" w:themeColor="text1"/>
          <w:sz w:val="24"/>
          <w:szCs w:val="24"/>
          <w:lang w:val="en-US" w:eastAsia="zh-CN"/>
        </w:rPr>
        <w:t>20</w:t>
      </w:r>
      <w:r>
        <w:rPr>
          <w:rFonts w:hint="eastAsia"/>
          <w:color w:val="000000" w:themeColor="text1"/>
          <w:sz w:val="24"/>
          <w:szCs w:val="24"/>
          <w:lang w:eastAsia="zh-CN"/>
        </w:rPr>
        <w:t>日14时0分。</w:t>
      </w:r>
    </w:p>
    <w:p w14:paraId="6590676D">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电话：0</w:t>
      </w:r>
      <w:r>
        <w:rPr>
          <w:color w:val="000000" w:themeColor="text1"/>
          <w:sz w:val="24"/>
          <w:szCs w:val="24"/>
          <w:lang w:eastAsia="zh-CN"/>
        </w:rPr>
        <w:t>596-6311061</w:t>
      </w:r>
      <w:r>
        <w:rPr>
          <w:rFonts w:hint="eastAsia"/>
          <w:color w:val="000000" w:themeColor="text1"/>
          <w:sz w:val="24"/>
          <w:szCs w:val="24"/>
          <w:lang w:eastAsia="zh-CN"/>
        </w:rPr>
        <w:t>/0596-63118</w:t>
      </w:r>
      <w:r>
        <w:rPr>
          <w:color w:val="000000" w:themeColor="text1"/>
          <w:sz w:val="24"/>
          <w:szCs w:val="24"/>
          <w:lang w:eastAsia="zh-CN"/>
        </w:rPr>
        <w:t>21</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联系地址：漳州市漳浦县杜浔镇杜昌路9号福海创办公楼三楼设备及服务团队。邮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2024</w:t>
      </w:r>
      <w:r>
        <w:rPr>
          <w:rFonts w:hint="eastAsia"/>
          <w:color w:val="000000" w:themeColor="text1"/>
          <w:sz w:val="24"/>
          <w:szCs w:val="24"/>
          <w:lang w:eastAsia="zh-CN"/>
        </w:rPr>
        <w:t>年</w:t>
      </w:r>
      <w:r>
        <w:rPr>
          <w:color w:val="000000" w:themeColor="text1"/>
          <w:sz w:val="24"/>
          <w:szCs w:val="24"/>
          <w:lang w:eastAsia="zh-CN"/>
        </w:rPr>
        <w:t>1</w:t>
      </w:r>
      <w:r>
        <w:rPr>
          <w:rFonts w:hint="eastAsia"/>
          <w:color w:val="000000" w:themeColor="text1"/>
          <w:sz w:val="24"/>
          <w:szCs w:val="24"/>
          <w:lang w:val="en-US" w:eastAsia="zh-CN"/>
        </w:rPr>
        <w:t>2</w:t>
      </w:r>
      <w:r>
        <w:rPr>
          <w:rFonts w:hint="eastAsia"/>
          <w:color w:val="000000" w:themeColor="text1"/>
          <w:sz w:val="24"/>
          <w:szCs w:val="24"/>
          <w:lang w:eastAsia="zh-CN"/>
        </w:rPr>
        <w:t>月</w:t>
      </w:r>
      <w:r>
        <w:rPr>
          <w:rFonts w:hint="eastAsia"/>
          <w:color w:val="000000" w:themeColor="text1"/>
          <w:sz w:val="24"/>
          <w:szCs w:val="24"/>
          <w:lang w:val="en-US" w:eastAsia="zh-CN"/>
        </w:rPr>
        <w:t>09</w:t>
      </w:r>
      <w:r>
        <w:rPr>
          <w:rFonts w:hint="eastAsia"/>
          <w:color w:val="000000" w:themeColor="text1"/>
          <w:sz w:val="24"/>
          <w:szCs w:val="24"/>
          <w:lang w:eastAsia="zh-CN"/>
        </w:rPr>
        <w:t>日</w:t>
      </w:r>
    </w:p>
    <w:p w14:paraId="6B320BD6">
      <w:pPr>
        <w:pStyle w:val="3"/>
        <w:tabs>
          <w:tab w:val="left" w:pos="1262"/>
        </w:tabs>
        <w:spacing w:line="360" w:lineRule="auto"/>
        <w:ind w:left="0" w:right="108"/>
        <w:jc w:val="center"/>
        <w:rPr>
          <w:sz w:val="24"/>
          <w:szCs w:val="24"/>
          <w:lang w:eastAsia="zh-CN"/>
        </w:rPr>
      </w:pPr>
    </w:p>
    <w:p w14:paraId="000AB6F4">
      <w:pPr>
        <w:rPr>
          <w:lang w:eastAsia="zh-CN"/>
        </w:rPr>
      </w:pPr>
    </w:p>
    <w:p w14:paraId="36195288">
      <w:pPr>
        <w:pStyle w:val="2"/>
      </w:pPr>
    </w:p>
    <w:p w14:paraId="0480057A">
      <w:pPr>
        <w:pStyle w:val="2"/>
      </w:pPr>
    </w:p>
    <w:p w14:paraId="3E5EC0CF">
      <w:pPr>
        <w:pStyle w:val="2"/>
      </w:pPr>
    </w:p>
    <w:p w14:paraId="54179479">
      <w:pPr>
        <w:pStyle w:val="2"/>
      </w:pPr>
    </w:p>
    <w:p w14:paraId="27A7C68B">
      <w:pPr>
        <w:pStyle w:val="2"/>
      </w:pPr>
    </w:p>
    <w:p w14:paraId="6A787B24">
      <w:pPr>
        <w:pStyle w:val="2"/>
      </w:pPr>
    </w:p>
    <w:p w14:paraId="2B18FA35">
      <w:pPr>
        <w:pStyle w:val="2"/>
      </w:pPr>
    </w:p>
    <w:p w14:paraId="79620D8D">
      <w:pPr>
        <w:jc w:val="center"/>
        <w:outlineLvl w:val="0"/>
        <w:rPr>
          <w:rFonts w:ascii="黑体" w:hAnsi="黑体" w:eastAsia="黑体"/>
          <w:sz w:val="32"/>
          <w:szCs w:val="32"/>
          <w:lang w:eastAsia="zh-CN"/>
        </w:rPr>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（参选单位名称）的法定代表人，现授权委托本单位在职员工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）作为参选人代表以我方的名义参加贵单位</w:t>
      </w:r>
      <w:r>
        <w:rPr>
          <w:rFonts w:hint="eastAsia" w:hAnsi="Calibri" w:cs="黑体"/>
          <w:color w:val="000000" w:themeColor="text1"/>
          <w:sz w:val="24"/>
          <w:szCs w:val="24"/>
          <w:lang w:eastAsia="zh-CN"/>
        </w:rPr>
        <w:t>组织的</w:t>
      </w:r>
      <w:r>
        <w:rPr>
          <w:rFonts w:hAnsi="Calibri" w:cs="黑体"/>
          <w:color w:val="000000" w:themeColor="text1"/>
          <w:sz w:val="24"/>
          <w:szCs w:val="24"/>
          <w:u w:val="single"/>
          <w:lang w:eastAsia="zh-CN"/>
        </w:rPr>
        <w:t xml:space="preserve"> </w:t>
      </w:r>
      <w:r>
        <w:rPr>
          <w:bCs/>
          <w:color w:val="000000" w:themeColor="text1"/>
          <w:u w:val="single"/>
          <w:lang w:eastAsia="zh-CN"/>
        </w:rPr>
        <w:t>PTA现场人员用房外部爆炸冲击波影响评估技术服务</w:t>
      </w:r>
      <w:r>
        <w:rPr>
          <w:rFonts w:hint="eastAsia"/>
          <w:bCs/>
          <w:color w:val="000000" w:themeColor="text1"/>
          <w:u w:val="single"/>
          <w:lang w:eastAsia="zh-CN"/>
        </w:rPr>
        <w:t>（项目编号：</w:t>
      </w:r>
      <w:r>
        <w:rPr>
          <w:bCs/>
          <w:color w:val="000000" w:themeColor="text1"/>
          <w:u w:val="single"/>
          <w:lang w:eastAsia="zh-CN"/>
        </w:rPr>
        <w:t>FAP5-E-CGSQ-202411-001</w:t>
      </w:r>
      <w:r>
        <w:rPr>
          <w:rFonts w:hint="eastAsia"/>
          <w:bCs/>
          <w:color w:val="000000" w:themeColor="text1"/>
          <w:u w:val="single"/>
          <w:lang w:eastAsia="zh-CN"/>
        </w:rPr>
        <w:t>）</w:t>
      </w:r>
      <w:r>
        <w:rPr>
          <w:rFonts w:hint="eastAsia" w:hAnsi="Calibri" w:cs="黑体"/>
          <w:sz w:val="24"/>
          <w:szCs w:val="24"/>
          <w:lang w:eastAsia="zh-CN"/>
        </w:rPr>
        <w:t>的比选活动，并代表我方全权处理一切与之有关的具体事务和签署相关文件，我均予以承认。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日签字生效，本授权书至参选有效期结束前始终有效。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参选人（公章）：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参选人代表（被授权人）签字或盖章：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参选人代表（被授权人）身份证正面和反面复印件</w:t>
      </w:r>
    </w:p>
    <w:p w14:paraId="4B90F452">
      <w:pPr>
        <w:pStyle w:val="2"/>
        <w:sectPr>
          <w:pgSz w:w="11910" w:h="16840"/>
          <w:pgMar w:top="1500" w:right="1020" w:bottom="740" w:left="1300" w:header="0" w:footer="551" w:gutter="0"/>
          <w:cols w:space="720" w:num="1"/>
        </w:sectPr>
      </w:pPr>
    </w:p>
    <w:p w14:paraId="79FD0EB2">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6559FC1B">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color w:val="000000" w:themeColor="text1"/>
          <w:lang w:eastAsia="zh-CN"/>
        </w:rPr>
        <w:t>PTA现场人员用房外部爆炸冲击波影响评估技术服务</w:t>
      </w:r>
    </w:p>
    <w:p w14:paraId="48298414">
      <w:pPr>
        <w:pStyle w:val="20"/>
        <w:spacing w:line="360" w:lineRule="auto"/>
        <w:ind w:right="121"/>
        <w:jc w:val="both"/>
        <w:rPr>
          <w:lang w:eastAsia="zh-CN"/>
        </w:rPr>
      </w:pPr>
      <w:r>
        <w:rPr>
          <w:rFonts w:hint="eastAsia"/>
          <w:lang w:eastAsia="zh-CN"/>
        </w:rPr>
        <w:t xml:space="preserve">    2.项目</w:t>
      </w:r>
      <w:r>
        <w:rPr>
          <w:lang w:eastAsia="zh-CN"/>
        </w:rPr>
        <w:t>地点：</w:t>
      </w:r>
      <w:r>
        <w:rPr>
          <w:rFonts w:hint="eastAsia"/>
          <w:lang w:eastAsia="zh-CN"/>
        </w:rPr>
        <w:t>福建福海创石油化工有限公司</w:t>
      </w:r>
    </w:p>
    <w:p w14:paraId="7BBCDF29">
      <w:pPr>
        <w:pStyle w:val="20"/>
        <w:spacing w:line="360" w:lineRule="auto"/>
        <w:ind w:right="121"/>
        <w:jc w:val="both"/>
        <w:rPr>
          <w:lang w:eastAsia="zh-CN"/>
        </w:rPr>
      </w:pPr>
      <w:r>
        <w:rPr>
          <w:rFonts w:hint="eastAsia"/>
          <w:lang w:eastAsia="zh-CN"/>
        </w:rPr>
        <w:t xml:space="preserve">    3.承包方式</w:t>
      </w:r>
      <w:r>
        <w:rPr>
          <w:rFonts w:hint="eastAsia"/>
          <w:color w:val="000000" w:themeColor="text1"/>
          <w:lang w:eastAsia="zh-CN"/>
        </w:rPr>
        <w:t>：固定总价包干</w:t>
      </w:r>
    </w:p>
    <w:p w14:paraId="17CA1751">
      <w:pPr>
        <w:pStyle w:val="20"/>
        <w:spacing w:line="360" w:lineRule="auto"/>
        <w:ind w:right="121"/>
        <w:jc w:val="both"/>
        <w:rPr>
          <w:lang w:eastAsia="zh-CN"/>
        </w:rPr>
      </w:pPr>
      <w:r>
        <w:rPr>
          <w:rFonts w:hint="eastAsia"/>
          <w:lang w:eastAsia="zh-CN"/>
        </w:rPr>
        <w:t xml:space="preserve">    4.项目工作范围及技术要求：见附件发包说明</w:t>
      </w:r>
    </w:p>
    <w:p w14:paraId="3EED35CC">
      <w:pPr>
        <w:pStyle w:val="20"/>
        <w:spacing w:line="360" w:lineRule="auto"/>
        <w:ind w:right="121"/>
        <w:jc w:val="both"/>
        <w:rPr>
          <w:lang w:eastAsia="zh-CN"/>
        </w:rPr>
      </w:pPr>
      <w:r>
        <w:rPr>
          <w:rFonts w:hint="eastAsia"/>
          <w:lang w:eastAsia="zh-CN"/>
        </w:rPr>
        <w:t xml:space="preserve">    5.项目联系人</w:t>
      </w:r>
    </w:p>
    <w:p w14:paraId="2D35B5DE">
      <w:pPr>
        <w:pStyle w:val="20"/>
        <w:spacing w:line="360" w:lineRule="auto"/>
        <w:ind w:right="121"/>
        <w:jc w:val="both"/>
        <w:rPr>
          <w:lang w:eastAsia="zh-CN"/>
        </w:rPr>
      </w:pPr>
      <w:r>
        <w:rPr>
          <w:rFonts w:hint="eastAsia"/>
          <w:lang w:eastAsia="zh-CN"/>
        </w:rPr>
        <w:t xml:space="preserve">    技术联系人：</w:t>
      </w:r>
      <w:r>
        <w:rPr>
          <w:lang w:eastAsia="zh-CN"/>
        </w:rPr>
        <w:t>罗天杰</w:t>
      </w:r>
      <w:r>
        <w:rPr>
          <w:rFonts w:hint="eastAsia"/>
          <w:lang w:eastAsia="zh-CN"/>
        </w:rPr>
        <w:t xml:space="preserve"> </w:t>
      </w:r>
      <w:r>
        <w:rPr>
          <w:lang w:eastAsia="zh-CN"/>
        </w:rPr>
        <w:t>0596-6088632</w:t>
      </w:r>
      <w:r>
        <w:rPr>
          <w:rFonts w:hint="eastAsia"/>
          <w:lang w:eastAsia="zh-CN"/>
        </w:rPr>
        <w:t>，</w:t>
      </w:r>
      <w:r>
        <w:rPr>
          <w:lang w:eastAsia="zh-CN"/>
        </w:rPr>
        <w:t>tjluo@fhcpec.com.cn  </w:t>
      </w:r>
    </w:p>
    <w:p w14:paraId="008EC890">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 </w:t>
      </w:r>
      <w:r>
        <w:rPr>
          <w:lang w:eastAsia="zh-CN"/>
        </w:rPr>
        <w:t>0596-6311821/</w:t>
      </w:r>
      <w:r>
        <w:rPr>
          <w:rFonts w:hint="eastAsia"/>
          <w:lang w:eastAsia="zh-CN"/>
        </w:rPr>
        <w:t>0596-6311</w:t>
      </w:r>
      <w:r>
        <w:rPr>
          <w:lang w:eastAsia="zh-CN"/>
        </w:rPr>
        <w:t>061</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16606E7F">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0C7BC4FC">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0C505816">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01500ABB">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1689BFFF">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73618194">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7EB50D36">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02C8D9F7">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14:paraId="387DCFB5">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p>
    <w:p w14:paraId="4D962360">
      <w:pPr>
        <w:tabs>
          <w:tab w:val="left" w:pos="709"/>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.参选人</w:t>
      </w:r>
      <w:r>
        <w:rPr>
          <w:rFonts w:hint="eastAsia"/>
          <w:sz w:val="24"/>
          <w:szCs w:val="24"/>
          <w:lang w:eastAsia="zh-CN"/>
        </w:rPr>
        <w:t>须使用正版软件(如Safeti、Phast、FLACS等)进行3D爆炸荷载分析，提供相关软件采购合同、发票作为证明文件。</w:t>
      </w:r>
    </w:p>
    <w:p w14:paraId="13D804CD">
      <w:pPr>
        <w:tabs>
          <w:tab w:val="left" w:pos="709"/>
        </w:tabs>
        <w:spacing w:line="360" w:lineRule="auto"/>
        <w:ind w:firstLine="480" w:firstLineChars="200"/>
        <w:rPr>
          <w:sz w:val="24"/>
          <w:szCs w:val="24"/>
          <w:lang w:eastAsia="zh-CN"/>
        </w:rPr>
      </w:pPr>
      <w:r>
        <w:rPr>
          <w:sz w:val="24"/>
          <w:szCs w:val="24"/>
          <w:lang w:eastAsia="zh-CN"/>
        </w:rPr>
        <w:t>3.参选人</w:t>
      </w:r>
      <w:r>
        <w:rPr>
          <w:rFonts w:hint="eastAsia"/>
          <w:sz w:val="24"/>
          <w:szCs w:val="24"/>
          <w:lang w:eastAsia="zh-CN"/>
        </w:rPr>
        <w:t>爆炸荷载分析人员必须具有5位工程师及以上专业技术职称，并且为公司正式员工，提供12个月以上社保证明。</w:t>
      </w:r>
    </w:p>
    <w:p w14:paraId="613CE7AA">
      <w:pPr>
        <w:tabs>
          <w:tab w:val="left" w:pos="709"/>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w:t>
      </w:r>
      <w:r>
        <w:rPr>
          <w:rFonts w:hint="eastAsia"/>
          <w:sz w:val="24"/>
          <w:szCs w:val="24"/>
          <w:lang w:eastAsia="zh-CN"/>
        </w:rPr>
        <w:t xml:space="preserve"> 参选人2021年11月1日至2024年10月31日至少完成1个总投资额20亿以上石油化工医药行业项目爆炸冲击波计算模拟业绩，提供合同关键页复印件、体现投资额相关证明文件，合同原件及发票备查。</w:t>
      </w:r>
    </w:p>
    <w:p w14:paraId="789051A0">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5</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14:paraId="53986467">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6.与</w:t>
      </w:r>
      <w:r>
        <w:rPr>
          <w:rFonts w:hint="eastAsia"/>
          <w:color w:val="000000" w:themeColor="text1"/>
          <w:sz w:val="24"/>
          <w:szCs w:val="24"/>
          <w:lang w:eastAsia="zh-CN"/>
        </w:rPr>
        <w:t>比选人</w:t>
      </w:r>
      <w:r>
        <w:rPr>
          <w:color w:val="000000" w:themeColor="text1"/>
          <w:sz w:val="24"/>
          <w:szCs w:val="24"/>
          <w:lang w:eastAsia="zh-CN"/>
        </w:rPr>
        <w:t>无诉讼纠纷。</w:t>
      </w:r>
    </w:p>
    <w:p w14:paraId="584E60F4">
      <w:pPr>
        <w:pStyle w:val="20"/>
        <w:spacing w:line="360" w:lineRule="auto"/>
        <w:ind w:right="121"/>
        <w:jc w:val="both"/>
        <w:rPr>
          <w:b/>
          <w:w w:val="95"/>
          <w:sz w:val="28"/>
          <w:lang w:eastAsia="zh-CN"/>
        </w:rPr>
      </w:pPr>
      <w:r>
        <w:rPr>
          <w:rFonts w:hint="eastAsia"/>
          <w:b/>
          <w:w w:val="95"/>
          <w:sz w:val="28"/>
          <w:lang w:eastAsia="zh-CN"/>
        </w:rPr>
        <w:t xml:space="preserve">    </w:t>
      </w:r>
      <w:r>
        <w:rPr>
          <w:b/>
          <w:w w:val="95"/>
          <w:sz w:val="28"/>
          <w:lang w:eastAsia="zh-CN"/>
        </w:rPr>
        <w:t>七、参选保证金</w:t>
      </w:r>
    </w:p>
    <w:p w14:paraId="51EA630E">
      <w:pPr>
        <w:pStyle w:val="20"/>
        <w:spacing w:line="360" w:lineRule="auto"/>
        <w:ind w:right="121"/>
        <w:jc w:val="both"/>
        <w:rPr>
          <w:color w:val="000000" w:themeColor="text1"/>
          <w:lang w:eastAsia="zh-CN"/>
        </w:rPr>
      </w:pPr>
      <w:r>
        <w:rPr>
          <w:rFonts w:hint="eastAsia"/>
          <w:lang w:eastAsia="zh-CN"/>
        </w:rPr>
        <w:t xml:space="preserve">    1.参选单位应缴纳参选保证</w:t>
      </w:r>
      <w:r>
        <w:rPr>
          <w:rFonts w:hint="eastAsia"/>
          <w:color w:val="000000" w:themeColor="text1"/>
          <w:lang w:eastAsia="zh-CN"/>
        </w:rPr>
        <w:t>金，保证金金额</w:t>
      </w:r>
      <w:r>
        <w:rPr>
          <w:color w:val="000000" w:themeColor="text1"/>
          <w:lang w:eastAsia="zh-CN"/>
        </w:rPr>
        <w:t>2500</w:t>
      </w:r>
      <w:r>
        <w:rPr>
          <w:rFonts w:hint="eastAsia"/>
          <w:color w:val="000000" w:themeColor="text1"/>
          <w:lang w:eastAsia="zh-CN"/>
        </w:rPr>
        <w:t>元整，参选单位应按照要求从参选单位基本账户转入比选单位的账户，比选单位账户信息如下：</w:t>
      </w:r>
    </w:p>
    <w:p w14:paraId="27E6F7F0">
      <w:pPr>
        <w:pStyle w:val="20"/>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62C28295">
      <w:pPr>
        <w:pStyle w:val="20"/>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5B188A82">
      <w:pPr>
        <w:pStyle w:val="20"/>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57868B25">
      <w:pPr>
        <w:pStyle w:val="20"/>
        <w:spacing w:line="360" w:lineRule="auto"/>
        <w:ind w:right="121"/>
        <w:jc w:val="both"/>
        <w:rPr>
          <w:color w:val="000000" w:themeColor="text1"/>
          <w:lang w:eastAsia="zh-CN"/>
        </w:rPr>
      </w:pPr>
      <w:r>
        <w:rPr>
          <w:rFonts w:hint="eastAsia"/>
          <w:color w:val="000000" w:themeColor="text1"/>
          <w:lang w:eastAsia="zh-CN"/>
        </w:rPr>
        <w:t xml:space="preserve">    注明用途：现场人员用房外部爆炸冲击波影响评估技术服</w:t>
      </w:r>
      <w:r>
        <w:rPr>
          <w:color w:val="000000" w:themeColor="text1"/>
          <w:lang w:eastAsia="zh-CN"/>
        </w:rPr>
        <w:t>保证金</w:t>
      </w:r>
    </w:p>
    <w:p w14:paraId="5F94F630">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70B570EB">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14:paraId="7BB9CD45">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14:paraId="2204D178">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2DE4B6BF">
      <w:pPr>
        <w:pStyle w:val="20"/>
        <w:spacing w:line="360" w:lineRule="auto"/>
        <w:ind w:right="121"/>
        <w:jc w:val="both"/>
        <w:rPr>
          <w:color w:val="000000" w:themeColor="text1"/>
          <w:lang w:eastAsia="zh-CN"/>
        </w:rPr>
      </w:pPr>
      <w:r>
        <w:rPr>
          <w:rFonts w:hint="eastAsia"/>
          <w:lang w:eastAsia="zh-CN"/>
        </w:rPr>
        <w:t xml:space="preserve">    4.中选者的参选保证金（无息），将在合同签订后归还；</w:t>
      </w:r>
    </w:p>
    <w:p w14:paraId="3A43822C">
      <w:pPr>
        <w:pStyle w:val="20"/>
        <w:spacing w:line="360" w:lineRule="auto"/>
        <w:ind w:right="121"/>
        <w:jc w:val="both"/>
        <w:rPr>
          <w:lang w:eastAsia="zh-CN"/>
        </w:rPr>
      </w:pPr>
      <w:r>
        <w:rPr>
          <w:rFonts w:hint="eastAsia"/>
          <w:lang w:eastAsia="zh-CN"/>
        </w:rPr>
        <w:t xml:space="preserve">    5.如有下列情况发生，将被没收参选保证金：</w:t>
      </w:r>
    </w:p>
    <w:p w14:paraId="4AE5A215">
      <w:pPr>
        <w:pStyle w:val="20"/>
        <w:spacing w:line="360" w:lineRule="auto"/>
        <w:ind w:right="121"/>
        <w:jc w:val="both"/>
        <w:rPr>
          <w:lang w:eastAsia="zh-CN"/>
        </w:rPr>
      </w:pPr>
      <w:r>
        <w:rPr>
          <w:rFonts w:hint="eastAsia"/>
          <w:lang w:eastAsia="zh-CN"/>
        </w:rPr>
        <w:t xml:space="preserve">    （1）参选单位在参选有效期内撤回参选文件；</w:t>
      </w:r>
    </w:p>
    <w:p w14:paraId="6687E022">
      <w:pPr>
        <w:pStyle w:val="20"/>
        <w:spacing w:line="360" w:lineRule="auto"/>
        <w:ind w:right="121"/>
        <w:jc w:val="both"/>
        <w:rPr>
          <w:lang w:eastAsia="zh-CN"/>
        </w:rPr>
      </w:pPr>
      <w:r>
        <w:rPr>
          <w:rFonts w:hint="eastAsia"/>
          <w:lang w:eastAsia="zh-CN"/>
        </w:rPr>
        <w:t xml:space="preserve">    （2）参选单位未能按接到中标通知书后规定的时间内签定合同。</w:t>
      </w:r>
    </w:p>
    <w:p w14:paraId="05AE76C2">
      <w:pPr>
        <w:spacing w:before="15" w:line="360" w:lineRule="auto"/>
        <w:ind w:firstLine="534" w:firstLineChars="200"/>
        <w:rPr>
          <w:b/>
          <w:w w:val="95"/>
          <w:sz w:val="28"/>
          <w:lang w:eastAsia="zh-CN"/>
        </w:rPr>
      </w:pPr>
      <w:r>
        <w:rPr>
          <w:b/>
          <w:w w:val="95"/>
          <w:sz w:val="28"/>
          <w:lang w:eastAsia="zh-CN"/>
        </w:rPr>
        <w:t>八、参选文件的递交</w:t>
      </w:r>
    </w:p>
    <w:p w14:paraId="110EB45D">
      <w:pPr>
        <w:pStyle w:val="4"/>
        <w:tabs>
          <w:tab w:val="left" w:pos="6879"/>
        </w:tabs>
        <w:spacing w:before="107" w:line="321" w:lineRule="auto"/>
        <w:ind w:left="0" w:right="106"/>
        <w:rPr>
          <w:lang w:eastAsia="zh-CN"/>
        </w:rPr>
      </w:pPr>
      <w:r>
        <w:rPr>
          <w:rFonts w:hint="eastAsia"/>
          <w:lang w:eastAsia="zh-CN"/>
        </w:rPr>
        <w:t xml:space="preserve">    </w:t>
      </w:r>
      <w:r>
        <w:rPr>
          <w:lang w:eastAsia="zh-CN"/>
        </w:rPr>
        <w:t>1.参选文件递交的</w:t>
      </w:r>
      <w:r>
        <w:rPr>
          <w:color w:val="000000" w:themeColor="text1"/>
          <w:lang w:eastAsia="zh-CN"/>
        </w:rPr>
        <w:t>截止时间</w:t>
      </w:r>
      <w:r>
        <w:rPr>
          <w:rFonts w:hint="eastAsia"/>
          <w:color w:val="000000" w:themeColor="text1"/>
          <w:lang w:eastAsia="zh-CN"/>
        </w:rPr>
        <w:t>：202</w:t>
      </w:r>
      <w:r>
        <w:rPr>
          <w:color w:val="000000" w:themeColor="text1"/>
          <w:lang w:eastAsia="zh-CN"/>
        </w:rPr>
        <w:t>4</w:t>
      </w:r>
      <w:r>
        <w:rPr>
          <w:rFonts w:hint="eastAsia"/>
          <w:color w:val="000000" w:themeColor="text1"/>
          <w:lang w:eastAsia="zh-CN"/>
        </w:rPr>
        <w:t>年12月</w:t>
      </w:r>
      <w:r>
        <w:rPr>
          <w:rFonts w:hint="eastAsia"/>
          <w:color w:val="000000" w:themeColor="text1"/>
          <w:lang w:val="en-US" w:eastAsia="zh-CN"/>
        </w:rPr>
        <w:t>20</w:t>
      </w:r>
      <w:bookmarkStart w:id="7" w:name="_GoBack"/>
      <w:bookmarkEnd w:id="7"/>
      <w:r>
        <w:rPr>
          <w:rFonts w:hint="eastAsia"/>
          <w:color w:val="000000" w:themeColor="text1"/>
          <w:lang w:eastAsia="zh-CN"/>
        </w:rPr>
        <w:t>日14时0分。</w:t>
      </w:r>
    </w:p>
    <w:p w14:paraId="7C2A1CFD">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选文件的地点为：</w:t>
      </w:r>
      <w:r>
        <w:rPr>
          <w:rFonts w:hint="eastAsia"/>
          <w:color w:val="000000" w:themeColor="text1"/>
          <w:lang w:eastAsia="zh-CN"/>
        </w:rPr>
        <w:t>漳州市漳浦县杜浔镇杜昌路9号福海创办公楼三楼设备及服务团队</w:t>
      </w:r>
      <w:r>
        <w:rPr>
          <w:spacing w:val="4"/>
          <w:lang w:eastAsia="zh-CN"/>
        </w:rPr>
        <w:t>，</w:t>
      </w:r>
      <w:r>
        <w:rPr>
          <w:lang w:eastAsia="zh-CN"/>
        </w:rPr>
        <w:t>联系人</w:t>
      </w:r>
      <w:r>
        <w:rPr>
          <w:spacing w:val="-56"/>
          <w:lang w:eastAsia="zh-CN"/>
        </w:rPr>
        <w:t>：</w:t>
      </w:r>
      <w:r>
        <w:rPr>
          <w:rFonts w:hint="eastAsia"/>
          <w:lang w:eastAsia="zh-CN"/>
        </w:rPr>
        <w:t xml:space="preserve">张华娟  </w:t>
      </w:r>
      <w:r>
        <w:rPr>
          <w:spacing w:val="-6"/>
          <w:lang w:eastAsia="zh-CN"/>
        </w:rPr>
        <w:t xml:space="preserve"> </w:t>
      </w:r>
      <w:r>
        <w:rPr>
          <w:lang w:eastAsia="zh-CN"/>
        </w:rPr>
        <w:t>联系电话</w:t>
      </w:r>
      <w:r>
        <w:rPr>
          <w:spacing w:val="-4"/>
          <w:lang w:eastAsia="zh-CN"/>
        </w:rPr>
        <w:t>：</w:t>
      </w:r>
      <w:r>
        <w:rPr>
          <w:rFonts w:hint="eastAsia"/>
          <w:spacing w:val="-4"/>
          <w:lang w:eastAsia="zh-CN"/>
        </w:rPr>
        <w:t>0596-6311821 。</w:t>
      </w:r>
    </w:p>
    <w:p w14:paraId="76A70181">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7FF1ABC5">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14:paraId="755792C8">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3BA70A5A">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1244F6BD">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49A39562">
      <w:pPr>
        <w:spacing w:line="321" w:lineRule="auto"/>
        <w:jc w:val="both"/>
        <w:rPr>
          <w:lang w:eastAsia="zh-CN"/>
        </w:rPr>
        <w:sectPr>
          <w:pgSz w:w="11910" w:h="16840"/>
          <w:pgMar w:top="1420" w:right="1140" w:bottom="740" w:left="1300" w:header="0" w:footer="551" w:gutter="0"/>
          <w:cols w:space="720" w:num="1"/>
        </w:sectPr>
      </w:pPr>
    </w:p>
    <w:p w14:paraId="5E15E810">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14:paraId="4888CBF9">
      <w:pPr>
        <w:pStyle w:val="20"/>
        <w:spacing w:line="360" w:lineRule="auto"/>
        <w:ind w:right="121" w:firstLine="360" w:firstLineChars="150"/>
        <w:jc w:val="both"/>
        <w:rPr>
          <w:color w:val="000000" w:themeColor="text1"/>
          <w:lang w:eastAsia="zh-CN"/>
        </w:rPr>
      </w:pPr>
      <w:r>
        <w:rPr>
          <w:rFonts w:hint="eastAsia"/>
          <w:color w:val="000000" w:themeColor="text1"/>
          <w:lang w:eastAsia="zh-CN"/>
        </w:rPr>
        <w:t>（1）</w:t>
      </w:r>
      <w:r>
        <w:rPr>
          <w:color w:val="000000" w:themeColor="text1"/>
          <w:lang w:eastAsia="zh-CN"/>
        </w:rPr>
        <w:t>参选单位企业概况（企业简介、经营状况、近3年业绩）、营业执照。</w:t>
      </w:r>
    </w:p>
    <w:p w14:paraId="1B706258">
      <w:pPr>
        <w:pStyle w:val="20"/>
        <w:spacing w:line="360" w:lineRule="auto"/>
        <w:ind w:right="121" w:firstLine="360" w:firstLineChars="150"/>
        <w:jc w:val="both"/>
        <w:rPr>
          <w:color w:val="000000" w:themeColor="text1"/>
          <w:lang w:eastAsia="zh-CN"/>
        </w:rPr>
      </w:pPr>
      <w:r>
        <w:rPr>
          <w:rFonts w:hint="eastAsia"/>
          <w:color w:val="000000" w:themeColor="text1"/>
          <w:lang w:eastAsia="zh-CN"/>
        </w:rPr>
        <w:t>（</w:t>
      </w:r>
      <w:r>
        <w:rPr>
          <w:color w:val="000000" w:themeColor="text1"/>
          <w:lang w:eastAsia="zh-CN"/>
        </w:rPr>
        <w:t>2</w:t>
      </w:r>
      <w:r>
        <w:rPr>
          <w:rFonts w:hint="eastAsia"/>
          <w:color w:val="000000" w:themeColor="text1"/>
          <w:lang w:eastAsia="zh-CN"/>
        </w:rPr>
        <w:t>）使用正版软件(如Safeti、Phast、FLACS等)进行3D爆炸荷载分析，提供相关软件采购合同、发票作为证明文件。</w:t>
      </w:r>
    </w:p>
    <w:p w14:paraId="41799C51">
      <w:pPr>
        <w:pStyle w:val="20"/>
        <w:spacing w:line="360" w:lineRule="auto"/>
        <w:ind w:right="121" w:firstLine="360" w:firstLineChars="150"/>
        <w:jc w:val="both"/>
        <w:rPr>
          <w:color w:val="000000" w:themeColor="text1"/>
          <w:lang w:eastAsia="zh-CN"/>
        </w:rPr>
      </w:pPr>
      <w:r>
        <w:rPr>
          <w:rFonts w:hint="eastAsia"/>
          <w:color w:val="000000" w:themeColor="text1"/>
          <w:lang w:eastAsia="zh-CN"/>
        </w:rPr>
        <w:t>（</w:t>
      </w:r>
      <w:r>
        <w:rPr>
          <w:color w:val="000000" w:themeColor="text1"/>
          <w:lang w:eastAsia="zh-CN"/>
        </w:rPr>
        <w:t>3</w:t>
      </w:r>
      <w:r>
        <w:rPr>
          <w:rFonts w:hint="eastAsia"/>
          <w:color w:val="000000" w:themeColor="text1"/>
          <w:lang w:eastAsia="zh-CN"/>
        </w:rPr>
        <w:t>）项目人员简历及相关资格证书、社保证明。</w:t>
      </w:r>
    </w:p>
    <w:p w14:paraId="716E9ACD">
      <w:pPr>
        <w:pStyle w:val="20"/>
        <w:spacing w:line="360" w:lineRule="auto"/>
        <w:ind w:right="121" w:firstLine="360" w:firstLineChars="150"/>
        <w:jc w:val="both"/>
        <w:rPr>
          <w:color w:val="000000" w:themeColor="text1"/>
          <w:lang w:eastAsia="zh-CN"/>
        </w:rPr>
      </w:pPr>
      <w:r>
        <w:rPr>
          <w:rFonts w:hint="eastAsia"/>
          <w:color w:val="000000" w:themeColor="text1"/>
          <w:lang w:eastAsia="zh-CN"/>
        </w:rPr>
        <w:t>（</w:t>
      </w:r>
      <w:r>
        <w:rPr>
          <w:color w:val="000000" w:themeColor="text1"/>
          <w:lang w:eastAsia="zh-CN"/>
        </w:rPr>
        <w:t>4</w:t>
      </w:r>
      <w:r>
        <w:rPr>
          <w:rFonts w:hint="eastAsia"/>
          <w:color w:val="000000" w:themeColor="text1"/>
          <w:lang w:eastAsia="zh-CN"/>
        </w:rPr>
        <w:t>）项目方案。</w:t>
      </w:r>
    </w:p>
    <w:p w14:paraId="5B4AE6E3">
      <w:pPr>
        <w:pStyle w:val="20"/>
        <w:spacing w:line="360" w:lineRule="auto"/>
        <w:ind w:right="121" w:firstLine="360" w:firstLineChars="150"/>
        <w:jc w:val="both"/>
        <w:rPr>
          <w:color w:val="000000" w:themeColor="text1"/>
          <w:lang w:eastAsia="zh-CN"/>
        </w:rPr>
      </w:pPr>
      <w:r>
        <w:rPr>
          <w:rFonts w:hint="eastAsia"/>
          <w:color w:val="000000" w:themeColor="text1"/>
          <w:lang w:eastAsia="zh-CN"/>
        </w:rPr>
        <w:t>（5）提供在同类工程的业绩证明（如合同、体现投资额相关证明文件）等，</w:t>
      </w:r>
      <w:r>
        <w:rPr>
          <w:color w:val="000000" w:themeColor="text1"/>
          <w:lang w:eastAsia="zh-CN"/>
        </w:rPr>
        <w:t>其他可以证明参选单位具有类似良好业绩的相关材料；凡弄虚作假的，一经查实，比选人有权取消其中选资格。</w:t>
      </w:r>
    </w:p>
    <w:p w14:paraId="0578C973">
      <w:pPr>
        <w:pStyle w:val="20"/>
        <w:spacing w:line="360" w:lineRule="auto"/>
        <w:ind w:right="121" w:firstLine="360" w:firstLineChars="150"/>
        <w:jc w:val="both"/>
        <w:rPr>
          <w:color w:val="000000" w:themeColor="text1"/>
          <w:lang w:eastAsia="zh-CN"/>
        </w:rPr>
      </w:pPr>
      <w:r>
        <w:rPr>
          <w:rFonts w:hint="eastAsia"/>
          <w:color w:val="000000" w:themeColor="text1"/>
          <w:lang w:eastAsia="zh-CN"/>
        </w:rPr>
        <w:t>（6）商务报价文件，见附件商务报价函格式。</w:t>
      </w:r>
    </w:p>
    <w:p w14:paraId="05D4F0BC">
      <w:pPr>
        <w:spacing w:before="15" w:line="360" w:lineRule="auto"/>
        <w:ind w:firstLine="534" w:firstLineChars="200"/>
        <w:rPr>
          <w:b/>
          <w:w w:val="95"/>
          <w:sz w:val="28"/>
          <w:lang w:eastAsia="zh-CN"/>
        </w:rPr>
      </w:pPr>
      <w:r>
        <w:rPr>
          <w:b/>
          <w:w w:val="95"/>
          <w:sz w:val="28"/>
          <w:lang w:eastAsia="zh-CN"/>
        </w:rPr>
        <w:t>二、参选书格式内容</w:t>
      </w:r>
    </w:p>
    <w:p w14:paraId="5524195D">
      <w:pPr>
        <w:pStyle w:val="20"/>
        <w:spacing w:line="360" w:lineRule="auto"/>
        <w:ind w:right="121" w:firstLine="480" w:firstLineChars="200"/>
        <w:jc w:val="both"/>
        <w:rPr>
          <w:lang w:eastAsia="zh-CN"/>
        </w:rPr>
      </w:pPr>
      <w:r>
        <w:rPr>
          <w:lang w:eastAsia="zh-CN"/>
        </w:rPr>
        <w:t>参选人应按附件二格式内容要求进行参选书的编制。</w:t>
      </w:r>
    </w:p>
    <w:p w14:paraId="64EDE00C">
      <w:pPr>
        <w:spacing w:before="15" w:line="360" w:lineRule="auto"/>
        <w:ind w:firstLine="534" w:firstLineChars="200"/>
        <w:rPr>
          <w:b/>
          <w:w w:val="95"/>
          <w:sz w:val="28"/>
          <w:lang w:eastAsia="zh-CN"/>
        </w:rPr>
      </w:pPr>
      <w:r>
        <w:rPr>
          <w:b/>
          <w:w w:val="95"/>
          <w:sz w:val="28"/>
          <w:lang w:eastAsia="zh-CN"/>
        </w:rPr>
        <w:t>三、参选报价</w:t>
      </w:r>
    </w:p>
    <w:p w14:paraId="14B90F58">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14:paraId="5D096B55">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14:paraId="4D67865A">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14:paraId="67E5B6F0">
      <w:pPr>
        <w:spacing w:line="360" w:lineRule="auto"/>
        <w:jc w:val="both"/>
        <w:rPr>
          <w:lang w:eastAsia="zh-CN"/>
        </w:rPr>
        <w:sectPr>
          <w:pgSz w:w="11910" w:h="16840"/>
          <w:pgMar w:top="1500" w:right="1020" w:bottom="740" w:left="1300" w:header="0" w:footer="551" w:gutter="0"/>
          <w:cols w:space="720" w:num="1"/>
        </w:sectPr>
      </w:pPr>
    </w:p>
    <w:p w14:paraId="0B50A613">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14:paraId="04551595">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14:paraId="4F29A981">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10B610F">
      <w:pPr>
        <w:spacing w:before="15" w:line="360" w:lineRule="auto"/>
        <w:ind w:firstLine="534" w:firstLineChars="200"/>
        <w:rPr>
          <w:b/>
          <w:w w:val="95"/>
          <w:sz w:val="28"/>
          <w:lang w:eastAsia="zh-CN"/>
        </w:rPr>
      </w:pPr>
      <w:r>
        <w:rPr>
          <w:b/>
          <w:w w:val="95"/>
          <w:sz w:val="28"/>
          <w:lang w:eastAsia="zh-CN"/>
        </w:rPr>
        <w:t>三、评选办法</w:t>
      </w:r>
    </w:p>
    <w:p w14:paraId="3C976AAB">
      <w:pPr>
        <w:pStyle w:val="20"/>
        <w:spacing w:line="360" w:lineRule="auto"/>
        <w:ind w:right="121" w:firstLine="482" w:firstLineChars="200"/>
        <w:jc w:val="both"/>
        <w:rPr>
          <w:lang w:eastAsia="zh-CN"/>
        </w:rPr>
      </w:pPr>
      <w:r>
        <w:rPr>
          <w:rFonts w:hint="eastAsia"/>
          <w:b/>
          <w:color w:val="FF0000"/>
          <w:lang w:eastAsia="zh-CN"/>
        </w:rPr>
        <w:t>本项目设置最高控制价</w:t>
      </w:r>
      <w:r>
        <w:rPr>
          <w:b/>
          <w:color w:val="FF0000"/>
          <w:lang w:eastAsia="zh-CN"/>
        </w:rPr>
        <w:t>12.5</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rPr>
          <w:lang w:eastAsia="zh-CN"/>
        </w:rPr>
        <w:fldChar w:fldCharType="begin"/>
      </w:r>
      <w:r>
        <w:rPr>
          <w:lang w:eastAsia="zh-CN"/>
        </w:rPr>
        <w:instrText xml:space="preserve"> HYPERLINK "mailto:如参选人对控制价存疑请于报价截止前发邮件至hjzhang@fhcpec.com.cn" </w:instrText>
      </w:r>
      <w:r>
        <w:rPr>
          <w:lang w:eastAsia="zh-CN"/>
        </w:rPr>
        <w:fldChar w:fldCharType="separate"/>
      </w:r>
      <w:r>
        <w:rPr>
          <w:rFonts w:hint="eastAsia"/>
          <w:lang w:eastAsia="zh-CN"/>
        </w:rPr>
        <w:t>如参选人对控制价存疑请于报价截止前发邮件至hjzhang@fhcpec.com.cn</w:t>
      </w:r>
      <w:r>
        <w:rPr>
          <w:lang w:eastAsia="zh-CN"/>
        </w:rPr>
        <w:fldChar w:fldCharType="end"/>
      </w:r>
      <w:r>
        <w:rPr>
          <w:rFonts w:hint="eastAsia"/>
          <w:lang w:eastAsia="zh-CN"/>
        </w:rPr>
        <w:t>。</w:t>
      </w:r>
    </w:p>
    <w:p w14:paraId="17E40361">
      <w:pPr>
        <w:pStyle w:val="20"/>
        <w:spacing w:line="360" w:lineRule="auto"/>
        <w:ind w:right="121" w:firstLine="480" w:firstLineChars="200"/>
        <w:jc w:val="both"/>
        <w:rPr>
          <w:lang w:eastAsia="zh-CN"/>
        </w:rPr>
      </w:pPr>
      <w:r>
        <w:rPr>
          <w:rFonts w:hint="eastAsia"/>
          <w:lang w:eastAsia="zh-CN"/>
        </w:rPr>
        <w:t>采用综合评选的方式，从商务和技术两部分进行综合评价。商务分与技术分的比例为</w:t>
      </w:r>
      <w:r>
        <w:rPr>
          <w:lang w:eastAsia="zh-CN"/>
        </w:rPr>
        <w:t>70</w:t>
      </w:r>
      <w:r>
        <w:rPr>
          <w:rFonts w:hint="eastAsia"/>
          <w:lang w:eastAsia="zh-CN"/>
        </w:rPr>
        <w:t>：</w:t>
      </w:r>
      <w:r>
        <w:rPr>
          <w:lang w:eastAsia="zh-CN"/>
        </w:rPr>
        <w:t>30</w:t>
      </w:r>
      <w:r>
        <w:rPr>
          <w:rFonts w:hint="eastAsia"/>
          <w:lang w:eastAsia="zh-CN"/>
        </w:rPr>
        <w:t>。综合得分最高者作为第一中选人。</w:t>
      </w:r>
    </w:p>
    <w:p w14:paraId="2162713D">
      <w:pPr>
        <w:pStyle w:val="20"/>
        <w:spacing w:line="360" w:lineRule="auto"/>
        <w:ind w:right="121" w:firstLine="480" w:firstLineChars="200"/>
        <w:jc w:val="both"/>
        <w:rPr>
          <w:lang w:eastAsia="zh-CN"/>
        </w:rPr>
      </w:pPr>
      <w:r>
        <w:rPr>
          <w:rFonts w:hint="eastAsia"/>
          <w:lang w:eastAsia="zh-CN"/>
        </w:rPr>
        <w:t>评分细则如下：</w:t>
      </w:r>
    </w:p>
    <w:tbl>
      <w:tblPr>
        <w:tblStyle w:val="46"/>
        <w:tblW w:w="0" w:type="auto"/>
        <w:tblInd w:w="108" w:type="dxa"/>
        <w:tblLayout w:type="autofit"/>
        <w:tblCellMar>
          <w:top w:w="0" w:type="dxa"/>
          <w:left w:w="108" w:type="dxa"/>
          <w:bottom w:w="0" w:type="dxa"/>
          <w:right w:w="108" w:type="dxa"/>
        </w:tblCellMar>
      </w:tblPr>
      <w:tblGrid>
        <w:gridCol w:w="638"/>
        <w:gridCol w:w="1355"/>
        <w:gridCol w:w="5671"/>
        <w:gridCol w:w="638"/>
        <w:gridCol w:w="638"/>
        <w:gridCol w:w="638"/>
      </w:tblGrid>
      <w:tr w14:paraId="0DBD1204">
        <w:tblPrEx>
          <w:tblCellMar>
            <w:top w:w="0" w:type="dxa"/>
            <w:left w:w="108" w:type="dxa"/>
            <w:bottom w:w="0" w:type="dxa"/>
            <w:right w:w="108"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9EF232">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NO</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4BE5B7A">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项目</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5C84610">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评分细项</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34BF7D">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5A2D2A3">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得分</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27781D9">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备注</w:t>
            </w:r>
          </w:p>
        </w:tc>
      </w:tr>
      <w:tr w14:paraId="0314462B">
        <w:tblPrEx>
          <w:tblCellMar>
            <w:top w:w="0" w:type="dxa"/>
            <w:left w:w="108" w:type="dxa"/>
            <w:bottom w:w="0" w:type="dxa"/>
            <w:right w:w="108" w:type="dxa"/>
          </w:tblCellMar>
        </w:tblPrEx>
        <w:trPr>
          <w:trHeight w:val="69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68CF10">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一、</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4DC67B7">
            <w:pPr>
              <w:widowControl/>
              <w:autoSpaceDE/>
              <w:autoSpaceDN/>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商务评分</w:t>
            </w:r>
          </w:p>
        </w:tc>
        <w:tc>
          <w:tcPr>
            <w:tcW w:w="0" w:type="auto"/>
            <w:tcBorders>
              <w:top w:val="nil"/>
              <w:left w:val="nil"/>
              <w:bottom w:val="single" w:color="auto" w:sz="4" w:space="0"/>
              <w:right w:val="single" w:color="auto" w:sz="4" w:space="0"/>
            </w:tcBorders>
            <w:shd w:val="clear" w:color="auto" w:fill="auto"/>
            <w:noWrap/>
            <w:vAlign w:val="center"/>
          </w:tcPr>
          <w:p w14:paraId="0683953A">
            <w:pPr>
              <w:widowControl/>
              <w:autoSpaceDE/>
              <w:autoSpaceDN/>
              <w:jc w:val="center"/>
              <w:rPr>
                <w:rFonts w:asciiTheme="minorEastAsia" w:hAnsiTheme="minorEastAsia" w:eastAsiaTheme="minorEastAsia"/>
                <w:b/>
                <w:bCs/>
                <w:color w:val="000000"/>
                <w:sz w:val="21"/>
                <w:szCs w:val="21"/>
                <w:lang w:eastAsia="zh-CN"/>
              </w:rPr>
            </w:pPr>
            <w:r>
              <w:rPr>
                <w:rFonts w:asciiTheme="minorEastAsia" w:hAnsiTheme="minorEastAsia" w:eastAsiaTheme="minorEastAsia"/>
                <w:b/>
                <w:bCs/>
                <w:color w:val="000000"/>
                <w:sz w:val="21"/>
                <w:szCs w:val="21"/>
                <w:lang w:eastAsia="zh-CN"/>
              </w:rPr>
              <w:t>70</w:t>
            </w:r>
          </w:p>
        </w:tc>
        <w:tc>
          <w:tcPr>
            <w:tcW w:w="0" w:type="auto"/>
            <w:tcBorders>
              <w:top w:val="nil"/>
              <w:left w:val="nil"/>
              <w:bottom w:val="single" w:color="auto" w:sz="4" w:space="0"/>
              <w:right w:val="single" w:color="auto" w:sz="4" w:space="0"/>
            </w:tcBorders>
            <w:shd w:val="clear" w:color="auto" w:fill="auto"/>
            <w:noWrap/>
            <w:vAlign w:val="center"/>
          </w:tcPr>
          <w:p w14:paraId="010078F6">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0A2D3343">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r>
      <w:tr w14:paraId="5A60D6BF">
        <w:tblPrEx>
          <w:tblCellMar>
            <w:top w:w="0" w:type="dxa"/>
            <w:left w:w="108" w:type="dxa"/>
            <w:bottom w:w="0" w:type="dxa"/>
            <w:right w:w="108" w:type="dxa"/>
          </w:tblCellMar>
        </w:tblPrEx>
        <w:trPr>
          <w:trHeight w:val="280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D4A0C6">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w:t>
            </w:r>
          </w:p>
        </w:tc>
        <w:tc>
          <w:tcPr>
            <w:tcW w:w="0" w:type="auto"/>
            <w:tcBorders>
              <w:top w:val="nil"/>
              <w:left w:val="nil"/>
              <w:bottom w:val="single" w:color="auto" w:sz="4" w:space="0"/>
              <w:right w:val="single" w:color="auto" w:sz="4" w:space="0"/>
            </w:tcBorders>
            <w:shd w:val="clear" w:color="auto" w:fill="auto"/>
            <w:noWrap/>
            <w:vAlign w:val="center"/>
          </w:tcPr>
          <w:p w14:paraId="67289027">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商务报价</w:t>
            </w:r>
          </w:p>
        </w:tc>
        <w:tc>
          <w:tcPr>
            <w:tcW w:w="0" w:type="auto"/>
            <w:tcBorders>
              <w:top w:val="nil"/>
              <w:left w:val="nil"/>
              <w:bottom w:val="single" w:color="auto" w:sz="4" w:space="0"/>
              <w:right w:val="single" w:color="auto" w:sz="4" w:space="0"/>
            </w:tcBorders>
            <w:shd w:val="clear" w:color="auto" w:fill="auto"/>
            <w:vAlign w:val="center"/>
          </w:tcPr>
          <w:p w14:paraId="0FF53E1B">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1.设置最高控制价</w:t>
            </w:r>
            <w:r>
              <w:rPr>
                <w:rFonts w:asciiTheme="minorEastAsia" w:hAnsiTheme="minorEastAsia" w:eastAsiaTheme="minorEastAsia"/>
                <w:color w:val="000000"/>
                <w:sz w:val="21"/>
                <w:szCs w:val="21"/>
                <w:lang w:eastAsia="zh-CN"/>
              </w:rPr>
              <w:t>12.5</w:t>
            </w:r>
            <w:r>
              <w:rPr>
                <w:rFonts w:hint="eastAsia" w:asciiTheme="minorEastAsia" w:hAnsiTheme="minorEastAsia" w:eastAsiaTheme="minorEastAsia"/>
                <w:color w:val="000000"/>
                <w:sz w:val="21"/>
                <w:szCs w:val="21"/>
                <w:lang w:eastAsia="zh-CN"/>
              </w:rPr>
              <w:t>万元整。如超过则为无效报价，不参与投标基准价的计算。</w:t>
            </w:r>
            <w:r>
              <w:rPr>
                <w:rFonts w:hint="eastAsia" w:asciiTheme="minorEastAsia" w:hAnsiTheme="minorEastAsia" w:eastAsiaTheme="minorEastAsia"/>
                <w:color w:val="000000"/>
                <w:sz w:val="21"/>
                <w:szCs w:val="21"/>
                <w:lang w:eastAsia="zh-CN"/>
              </w:rPr>
              <w:br w:type="textWrapping"/>
            </w:r>
            <w:r>
              <w:rPr>
                <w:rFonts w:hint="eastAsia" w:asciiTheme="minorEastAsia" w:hAnsiTheme="minorEastAsia" w:eastAsiaTheme="minorEastAsia"/>
                <w:color w:val="000000"/>
                <w:sz w:val="21"/>
                <w:szCs w:val="21"/>
                <w:lang w:eastAsia="zh-CN"/>
              </w:rPr>
              <w:t>2.商务评选总分值</w:t>
            </w:r>
            <w:r>
              <w:rPr>
                <w:rFonts w:asciiTheme="minorEastAsia" w:hAnsiTheme="minorEastAsia" w:eastAsiaTheme="minorEastAsia"/>
                <w:color w:val="000000"/>
                <w:sz w:val="21"/>
                <w:szCs w:val="21"/>
                <w:lang w:eastAsia="zh-CN"/>
              </w:rPr>
              <w:t>70</w:t>
            </w:r>
            <w:r>
              <w:rPr>
                <w:rFonts w:hint="eastAsia" w:asciiTheme="minorEastAsia" w:hAnsiTheme="minorEastAsia" w:eastAsiaTheme="minorEastAsia"/>
                <w:color w:val="000000"/>
                <w:sz w:val="21"/>
                <w:szCs w:val="21"/>
                <w:lang w:eastAsia="zh-CN"/>
              </w:rPr>
              <w:t>分。</w:t>
            </w:r>
            <w:r>
              <w:rPr>
                <w:rFonts w:hint="eastAsia" w:asciiTheme="minorEastAsia" w:hAnsiTheme="minorEastAsia" w:eastAsiaTheme="minorEastAsia"/>
                <w:color w:val="000000"/>
                <w:sz w:val="21"/>
                <w:szCs w:val="21"/>
                <w:lang w:eastAsia="zh-CN"/>
              </w:rPr>
              <w:br w:type="textWrapping"/>
            </w:r>
            <w:r>
              <w:rPr>
                <w:rFonts w:hint="eastAsia" w:asciiTheme="minorEastAsia" w:hAnsiTheme="minorEastAsia" w:eastAsiaTheme="minorEastAsia"/>
                <w:color w:val="000000"/>
                <w:sz w:val="21"/>
                <w:szCs w:val="21"/>
                <w:lang w:eastAsia="zh-CN"/>
              </w:rPr>
              <w:t>3.投标报价得分=</w:t>
            </w:r>
            <w:r>
              <w:rPr>
                <w:rFonts w:asciiTheme="minorEastAsia" w:hAnsiTheme="minorEastAsia" w:eastAsiaTheme="minorEastAsia"/>
                <w:color w:val="000000"/>
                <w:sz w:val="21"/>
                <w:szCs w:val="21"/>
                <w:lang w:eastAsia="zh-CN"/>
              </w:rPr>
              <w:t>70</w:t>
            </w:r>
            <w:r>
              <w:rPr>
                <w:rFonts w:hint="eastAsia" w:asciiTheme="minorEastAsia" w:hAnsiTheme="minorEastAsia" w:eastAsiaTheme="minorEastAsia"/>
                <w:color w:val="000000"/>
                <w:sz w:val="21"/>
                <w:szCs w:val="21"/>
                <w:lang w:eastAsia="zh-CN"/>
              </w:rPr>
              <w:t>-（|Ai-评标基准价|÷评标基准价）×100×Q</w:t>
            </w:r>
            <w:r>
              <w:rPr>
                <w:rFonts w:hint="eastAsia" w:asciiTheme="minorEastAsia" w:hAnsiTheme="minorEastAsia" w:eastAsiaTheme="minorEastAsia"/>
                <w:color w:val="000000"/>
                <w:sz w:val="21"/>
                <w:szCs w:val="21"/>
                <w:lang w:eastAsia="zh-CN"/>
              </w:rPr>
              <w:br w:type="textWrapping"/>
            </w:r>
            <w:r>
              <w:rPr>
                <w:rFonts w:hint="eastAsia" w:asciiTheme="minorEastAsia" w:hAnsiTheme="minorEastAsia" w:eastAsiaTheme="minorEastAsia"/>
                <w:color w:val="000000"/>
                <w:sz w:val="21"/>
                <w:szCs w:val="21"/>
                <w:lang w:eastAsia="zh-CN"/>
              </w:rPr>
              <w:t>其中，Ai 为各合格投标人的有效报价；</w:t>
            </w:r>
          </w:p>
          <w:p w14:paraId="4E5C58C4">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评标基准价为各合格投标人有效报价的平均值；</w:t>
            </w:r>
            <w:r>
              <w:rPr>
                <w:rFonts w:hint="eastAsia" w:asciiTheme="minorEastAsia" w:hAnsiTheme="minorEastAsia" w:eastAsiaTheme="minorEastAsia"/>
                <w:color w:val="000000"/>
                <w:sz w:val="21"/>
                <w:szCs w:val="21"/>
                <w:lang w:eastAsia="zh-CN"/>
              </w:rPr>
              <w:br w:type="textWrapping"/>
            </w:r>
            <w:r>
              <w:rPr>
                <w:rFonts w:hint="eastAsia" w:asciiTheme="minorEastAsia" w:hAnsiTheme="minorEastAsia" w:eastAsiaTheme="minorEastAsia"/>
                <w:color w:val="000000"/>
                <w:sz w:val="21"/>
                <w:szCs w:val="21"/>
                <w:lang w:eastAsia="zh-CN"/>
              </w:rPr>
              <w:t>当合格投标人的有效报价评标价≤评标基准价时，Q的取值为</w:t>
            </w:r>
            <w:r>
              <w:rPr>
                <w:rFonts w:asciiTheme="minorEastAsia" w:hAnsiTheme="minorEastAsia" w:eastAsiaTheme="minorEastAsia"/>
                <w:color w:val="000000"/>
                <w:sz w:val="21"/>
                <w:szCs w:val="21"/>
                <w:lang w:eastAsia="zh-CN"/>
              </w:rPr>
              <w:t>0.4</w:t>
            </w:r>
            <w:r>
              <w:rPr>
                <w:rFonts w:hint="eastAsia" w:asciiTheme="minorEastAsia" w:hAnsiTheme="minorEastAsia" w:eastAsiaTheme="minorEastAsia"/>
                <w:color w:val="000000"/>
                <w:sz w:val="21"/>
                <w:szCs w:val="21"/>
                <w:lang w:eastAsia="zh-CN"/>
              </w:rPr>
              <w:t>；</w:t>
            </w:r>
          </w:p>
          <w:p w14:paraId="47C63191">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当合格投标人的有效报价评标价&gt;评标基准价时，Q的取值为</w:t>
            </w:r>
            <w:r>
              <w:rPr>
                <w:rFonts w:asciiTheme="minorEastAsia" w:hAnsiTheme="minorEastAsia" w:eastAsiaTheme="minorEastAsia"/>
                <w:color w:val="000000"/>
                <w:sz w:val="21"/>
                <w:szCs w:val="21"/>
                <w:lang w:eastAsia="zh-CN"/>
              </w:rPr>
              <w:t>0.8</w:t>
            </w:r>
            <w:r>
              <w:rPr>
                <w:rFonts w:hint="eastAsia" w:asciiTheme="minorEastAsia" w:hAnsiTheme="minorEastAsia" w:eastAsiaTheme="minorEastAsia"/>
                <w:color w:val="000000"/>
                <w:sz w:val="21"/>
                <w:szCs w:val="21"/>
                <w:lang w:eastAsia="zh-CN"/>
              </w:rPr>
              <w:t>。</w:t>
            </w:r>
          </w:p>
          <w:p w14:paraId="1B32D875">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投标报价得分小数点后保留两位，第三位“四舍五入”，第四位及以后不计。</w:t>
            </w:r>
          </w:p>
        </w:tc>
        <w:tc>
          <w:tcPr>
            <w:tcW w:w="0" w:type="auto"/>
            <w:tcBorders>
              <w:top w:val="nil"/>
              <w:left w:val="nil"/>
              <w:bottom w:val="single" w:color="auto" w:sz="4" w:space="0"/>
              <w:right w:val="single" w:color="auto" w:sz="4" w:space="0"/>
            </w:tcBorders>
            <w:shd w:val="clear" w:color="auto" w:fill="auto"/>
            <w:noWrap/>
            <w:vAlign w:val="center"/>
          </w:tcPr>
          <w:p w14:paraId="08A6C571">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00F137BA">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40F38C79">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r>
      <w:tr w14:paraId="659555C3">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1B4C0E">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二</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24199CA">
            <w:pPr>
              <w:widowControl/>
              <w:autoSpaceDE/>
              <w:autoSpaceDN/>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技术评分</w:t>
            </w:r>
          </w:p>
        </w:tc>
        <w:tc>
          <w:tcPr>
            <w:tcW w:w="0" w:type="auto"/>
            <w:tcBorders>
              <w:top w:val="nil"/>
              <w:left w:val="nil"/>
              <w:bottom w:val="single" w:color="auto" w:sz="4" w:space="0"/>
              <w:right w:val="single" w:color="auto" w:sz="4" w:space="0"/>
            </w:tcBorders>
            <w:shd w:val="clear" w:color="auto" w:fill="auto"/>
            <w:noWrap/>
            <w:vAlign w:val="center"/>
          </w:tcPr>
          <w:p w14:paraId="69B5B904">
            <w:pPr>
              <w:widowControl/>
              <w:autoSpaceDE/>
              <w:autoSpaceDN/>
              <w:jc w:val="center"/>
              <w:rPr>
                <w:rFonts w:asciiTheme="minorEastAsia" w:hAnsiTheme="minorEastAsia" w:eastAsiaTheme="minorEastAsia"/>
                <w:b/>
                <w:bCs/>
                <w:color w:val="000000"/>
                <w:sz w:val="21"/>
                <w:szCs w:val="21"/>
                <w:lang w:eastAsia="zh-CN"/>
              </w:rPr>
            </w:pPr>
            <w:r>
              <w:rPr>
                <w:rFonts w:asciiTheme="minorEastAsia" w:hAnsiTheme="minorEastAsia" w:eastAsiaTheme="minorEastAsia"/>
                <w:b/>
                <w:bCs/>
                <w:color w:val="000000"/>
                <w:sz w:val="21"/>
                <w:szCs w:val="21"/>
                <w:lang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7B87B819">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20AE9BA2">
            <w:pPr>
              <w:widowControl/>
              <w:autoSpaceDE/>
              <w:autoSpaceDN/>
              <w:jc w:val="center"/>
              <w:rPr>
                <w:rFonts w:asciiTheme="minorEastAsia" w:hAnsiTheme="minorEastAsia" w:eastAsiaTheme="minorEastAsia"/>
                <w:b/>
                <w:bCs/>
                <w:color w:val="000000"/>
                <w:sz w:val="21"/>
                <w:szCs w:val="21"/>
                <w:lang w:eastAsia="zh-CN"/>
              </w:rPr>
            </w:pPr>
            <w:r>
              <w:rPr>
                <w:rFonts w:hint="eastAsia" w:asciiTheme="minorEastAsia" w:hAnsiTheme="minorEastAsia" w:eastAsiaTheme="minorEastAsia"/>
                <w:b/>
                <w:bCs/>
                <w:color w:val="000000"/>
                <w:sz w:val="21"/>
                <w:szCs w:val="21"/>
                <w:lang w:eastAsia="zh-CN"/>
              </w:rPr>
              <w:t>　</w:t>
            </w:r>
          </w:p>
        </w:tc>
      </w:tr>
      <w:tr w14:paraId="408A14E5">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0817B9">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w:t>
            </w:r>
          </w:p>
        </w:tc>
        <w:tc>
          <w:tcPr>
            <w:tcW w:w="0" w:type="auto"/>
            <w:tcBorders>
              <w:top w:val="nil"/>
              <w:left w:val="single" w:color="auto" w:sz="4" w:space="0"/>
              <w:bottom w:val="single" w:color="auto" w:sz="4" w:space="0"/>
              <w:right w:val="single" w:color="auto" w:sz="4" w:space="0"/>
            </w:tcBorders>
            <w:shd w:val="clear" w:color="auto" w:fill="auto"/>
            <w:vAlign w:val="center"/>
          </w:tcPr>
          <w:p w14:paraId="2A82CDAE">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参选人业绩及项目</w:t>
            </w:r>
            <w:r>
              <w:rPr>
                <w:rFonts w:asciiTheme="minorEastAsia" w:hAnsiTheme="minorEastAsia" w:eastAsiaTheme="minorEastAsia"/>
                <w:color w:val="000000"/>
                <w:sz w:val="21"/>
                <w:szCs w:val="21"/>
                <w:lang w:eastAsia="zh-CN"/>
              </w:rPr>
              <w:t>人员配置</w:t>
            </w:r>
          </w:p>
        </w:tc>
        <w:tc>
          <w:tcPr>
            <w:tcW w:w="0" w:type="auto"/>
            <w:tcBorders>
              <w:top w:val="nil"/>
              <w:left w:val="nil"/>
              <w:bottom w:val="single" w:color="auto" w:sz="4" w:space="0"/>
              <w:right w:val="single" w:color="auto" w:sz="4" w:space="0"/>
            </w:tcBorders>
            <w:shd w:val="clear" w:color="auto" w:fill="auto"/>
            <w:vAlign w:val="center"/>
          </w:tcPr>
          <w:p w14:paraId="09BF645C">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lang w:eastAsia="zh-CN"/>
              </w:rPr>
              <w:t>从事爆炸荷载分析经验，近3年每</w:t>
            </w:r>
            <w:r>
              <w:rPr>
                <w:rFonts w:hint="eastAsia" w:asciiTheme="minorEastAsia" w:hAnsiTheme="minorEastAsia" w:eastAsiaTheme="minorEastAsia"/>
                <w:color w:val="000000"/>
                <w:sz w:val="21"/>
                <w:szCs w:val="21"/>
                <w:lang w:eastAsia="zh-CN"/>
              </w:rPr>
              <w:t>具有</w:t>
            </w:r>
            <w:r>
              <w:rPr>
                <w:rFonts w:asciiTheme="minorEastAsia" w:hAnsiTheme="minorEastAsia" w:eastAsiaTheme="minorEastAsia"/>
                <w:color w:val="000000"/>
                <w:sz w:val="21"/>
                <w:szCs w:val="21"/>
                <w:lang w:eastAsia="zh-CN"/>
              </w:rPr>
              <w:t>一</w:t>
            </w:r>
            <w:r>
              <w:rPr>
                <w:rFonts w:hint="eastAsia" w:asciiTheme="minorEastAsia" w:hAnsiTheme="minorEastAsia" w:eastAsiaTheme="minorEastAsia"/>
                <w:color w:val="000000"/>
                <w:sz w:val="21"/>
                <w:szCs w:val="21"/>
                <w:lang w:eastAsia="zh-CN"/>
              </w:rPr>
              <w:t>项</w:t>
            </w:r>
            <w:r>
              <w:rPr>
                <w:rFonts w:asciiTheme="minorEastAsia" w:hAnsiTheme="minorEastAsia" w:eastAsiaTheme="minorEastAsia"/>
                <w:color w:val="000000"/>
                <w:sz w:val="21"/>
                <w:szCs w:val="21"/>
                <w:lang w:eastAsia="zh-CN"/>
              </w:rPr>
              <w:t>业绩的加1分，若业绩项目中投资额超20亿以上加2分。满分为8分，未提供不得分。</w:t>
            </w:r>
          </w:p>
          <w:p w14:paraId="20819F88">
            <w:pPr>
              <w:widowControl/>
              <w:autoSpaceDE/>
              <w:autoSpaceDN/>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评委根据参选人拟派本项目的项目人员的工作经验、专业等级、执业资格。</w:t>
            </w:r>
            <w:r>
              <w:rPr>
                <w:rFonts w:asciiTheme="minorEastAsia" w:hAnsiTheme="minorEastAsia" w:eastAsiaTheme="minorEastAsia"/>
                <w:color w:val="000000"/>
                <w:sz w:val="21"/>
                <w:szCs w:val="21"/>
                <w:lang w:eastAsia="zh-CN"/>
              </w:rPr>
              <w:t>具有注册中级安全工程师加1分、具有注册结构工程师加1分</w:t>
            </w:r>
            <w:r>
              <w:rPr>
                <w:rFonts w:hint="eastAsia" w:asciiTheme="minorEastAsia" w:hAnsiTheme="minorEastAsia" w:eastAsiaTheme="minorEastAsia"/>
                <w:color w:val="000000"/>
                <w:sz w:val="21"/>
                <w:szCs w:val="21"/>
                <w:lang w:eastAsia="zh-CN"/>
              </w:rPr>
              <w:t>，</w:t>
            </w:r>
            <w:r>
              <w:rPr>
                <w:rFonts w:asciiTheme="minorEastAsia" w:hAnsiTheme="minorEastAsia" w:eastAsiaTheme="minorEastAsia"/>
                <w:color w:val="000000"/>
                <w:sz w:val="21"/>
                <w:szCs w:val="21"/>
                <w:lang w:eastAsia="zh-CN"/>
              </w:rPr>
              <w:t>满分</w:t>
            </w:r>
            <w:r>
              <w:rPr>
                <w:rFonts w:hint="eastAsia" w:asciiTheme="minorEastAsia" w:hAnsiTheme="minorEastAsia" w:eastAsiaTheme="minorEastAsia"/>
                <w:color w:val="000000"/>
                <w:sz w:val="21"/>
                <w:szCs w:val="21"/>
                <w:lang w:eastAsia="zh-CN"/>
              </w:rPr>
              <w:t>2分。</w:t>
            </w:r>
            <w:r>
              <w:rPr>
                <w:rFonts w:asciiTheme="minorEastAsia" w:hAnsiTheme="minorEastAsia" w:eastAsiaTheme="minorEastAsia"/>
                <w:color w:val="000000"/>
                <w:sz w:val="21"/>
                <w:szCs w:val="21"/>
                <w:lang w:eastAsia="zh-CN"/>
              </w:rPr>
              <w:t xml:space="preserve"> </w:t>
            </w:r>
          </w:p>
        </w:tc>
        <w:tc>
          <w:tcPr>
            <w:tcW w:w="0" w:type="auto"/>
            <w:tcBorders>
              <w:top w:val="nil"/>
              <w:left w:val="nil"/>
              <w:bottom w:val="single" w:color="auto" w:sz="4" w:space="0"/>
              <w:right w:val="single" w:color="auto" w:sz="4" w:space="0"/>
            </w:tcBorders>
            <w:shd w:val="clear" w:color="auto" w:fill="auto"/>
            <w:noWrap/>
            <w:vAlign w:val="center"/>
          </w:tcPr>
          <w:p w14:paraId="27D1EA51">
            <w:pPr>
              <w:widowControl/>
              <w:autoSpaceDE/>
              <w:autoSpaceDN/>
              <w:jc w:val="center"/>
              <w:rPr>
                <w:rFonts w:asciiTheme="minorEastAsia" w:hAnsiTheme="minorEastAsia" w:eastAsiaTheme="minorEastAsia"/>
                <w:color w:val="000000"/>
                <w:sz w:val="21"/>
                <w:szCs w:val="21"/>
                <w:lang w:eastAsia="zh-CN"/>
              </w:rPr>
            </w:pPr>
            <w:r>
              <w:rPr>
                <w:rFonts w:asciiTheme="minorEastAsia" w:hAnsiTheme="minorEastAsia" w:eastAsiaTheme="minorEastAsia"/>
                <w:color w:val="000000"/>
                <w:sz w:val="21"/>
                <w:szCs w:val="21"/>
                <w:lang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3B16EAF6">
            <w:pPr>
              <w:widowControl/>
              <w:autoSpaceDE/>
              <w:autoSpaceDN/>
              <w:jc w:val="center"/>
              <w:rPr>
                <w:rFonts w:asciiTheme="minorEastAsia" w:hAnsiTheme="minorEastAsia" w:eastAsiaTheme="minorEastAsia"/>
                <w:color w:val="000000"/>
                <w:sz w:val="21"/>
                <w:szCs w:val="21"/>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7940A86B">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　</w:t>
            </w:r>
          </w:p>
        </w:tc>
      </w:tr>
      <w:tr w14:paraId="3083AAE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507122">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14:paraId="0510D3F6">
            <w:pPr>
              <w:widowControl/>
              <w:autoSpaceDE/>
              <w:autoSpaceDN/>
              <w:rPr>
                <w:rFonts w:asciiTheme="minorEastAsia" w:hAnsiTheme="minorEastAsia" w:eastAsiaTheme="minorEastAsia"/>
                <w:color w:val="000000"/>
                <w:sz w:val="21"/>
                <w:szCs w:val="21"/>
                <w:lang w:eastAsia="zh-CN"/>
              </w:rPr>
            </w:pPr>
            <w:r>
              <w:rPr>
                <w:rFonts w:asciiTheme="minorEastAsia" w:hAnsiTheme="minorEastAsia" w:eastAsiaTheme="minorEastAsia"/>
                <w:color w:val="000000"/>
                <w:sz w:val="21"/>
                <w:szCs w:val="21"/>
                <w:lang w:eastAsia="zh-CN"/>
              </w:rPr>
              <w:t>项目方案</w:t>
            </w:r>
          </w:p>
        </w:tc>
        <w:tc>
          <w:tcPr>
            <w:tcW w:w="0" w:type="auto"/>
            <w:tcBorders>
              <w:top w:val="single" w:color="auto" w:sz="4" w:space="0"/>
              <w:left w:val="nil"/>
              <w:bottom w:val="single" w:color="auto" w:sz="4" w:space="0"/>
              <w:right w:val="single" w:color="auto" w:sz="4" w:space="0"/>
            </w:tcBorders>
            <w:shd w:val="clear" w:color="auto" w:fill="auto"/>
            <w:vAlign w:val="center"/>
          </w:tcPr>
          <w:p w14:paraId="2A6E6C6F">
            <w:pPr>
              <w:widowControl/>
              <w:autoSpaceDE/>
              <w:autoSpaceDN/>
              <w:rPr>
                <w:lang w:eastAsia="zh-CN"/>
              </w:rPr>
            </w:pPr>
            <w:r>
              <w:rPr>
                <w:rFonts w:hint="eastAsia"/>
                <w:lang w:eastAsia="zh-CN"/>
              </w:rPr>
              <w:t>根据参选人提供本项目的申报及执行方案，内容至少包括：①申报全流程阐述；②进度计划及进度安排；③项目重点、难点阐述；④项目合理化建议，由评标委员会对方案进行评价，第一档的得</w:t>
            </w:r>
            <w:r>
              <w:rPr>
                <w:lang w:eastAsia="zh-CN"/>
              </w:rPr>
              <w:t>16-20分，第二档的得11-15分，第三档的得0-10分，未提供方案的本项不得分。</w:t>
            </w:r>
          </w:p>
        </w:tc>
        <w:tc>
          <w:tcPr>
            <w:tcW w:w="0" w:type="auto"/>
            <w:tcBorders>
              <w:top w:val="nil"/>
              <w:left w:val="nil"/>
              <w:bottom w:val="single" w:color="auto" w:sz="4" w:space="0"/>
              <w:right w:val="single" w:color="auto" w:sz="4" w:space="0"/>
            </w:tcBorders>
            <w:shd w:val="clear" w:color="auto" w:fill="auto"/>
            <w:noWrap/>
            <w:vAlign w:val="center"/>
          </w:tcPr>
          <w:p w14:paraId="6942BA8F">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lang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3FFBF0CB">
            <w:pPr>
              <w:widowControl/>
              <w:autoSpaceDE/>
              <w:autoSpaceDN/>
              <w:jc w:val="center"/>
              <w:rPr>
                <w:rFonts w:asciiTheme="minorEastAsia" w:hAnsiTheme="minorEastAsia" w:eastAsiaTheme="minorEastAsia"/>
                <w:color w:val="000000"/>
                <w:sz w:val="21"/>
                <w:szCs w:val="21"/>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3F51645A">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　</w:t>
            </w:r>
          </w:p>
        </w:tc>
      </w:tr>
      <w:tr w14:paraId="23E12A5E">
        <w:tblPrEx>
          <w:tblCellMar>
            <w:top w:w="0" w:type="dxa"/>
            <w:left w:w="108" w:type="dxa"/>
            <w:bottom w:w="0" w:type="dxa"/>
            <w:right w:w="108" w:type="dxa"/>
          </w:tblCellMar>
        </w:tblPrEx>
        <w:trPr>
          <w:trHeight w:val="54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F56D38">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三</w:t>
            </w:r>
          </w:p>
        </w:tc>
        <w:tc>
          <w:tcPr>
            <w:tcW w:w="0" w:type="auto"/>
            <w:gridSpan w:val="2"/>
            <w:tcBorders>
              <w:top w:val="single" w:color="auto" w:sz="4" w:space="0"/>
              <w:left w:val="nil"/>
              <w:bottom w:val="single" w:color="auto" w:sz="4" w:space="0"/>
              <w:right w:val="single" w:color="000000" w:sz="4" w:space="0"/>
            </w:tcBorders>
            <w:shd w:val="clear" w:color="auto" w:fill="auto"/>
            <w:vAlign w:val="center"/>
          </w:tcPr>
          <w:p w14:paraId="166BDB4F">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14:paraId="42C910A2">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100</w:t>
            </w:r>
          </w:p>
        </w:tc>
        <w:tc>
          <w:tcPr>
            <w:tcW w:w="0" w:type="auto"/>
            <w:tcBorders>
              <w:top w:val="nil"/>
              <w:left w:val="nil"/>
              <w:bottom w:val="single" w:color="auto" w:sz="4" w:space="0"/>
              <w:right w:val="single" w:color="auto" w:sz="4" w:space="0"/>
            </w:tcBorders>
            <w:shd w:val="clear" w:color="auto" w:fill="auto"/>
            <w:noWrap/>
            <w:vAlign w:val="center"/>
          </w:tcPr>
          <w:p w14:paraId="368FF3C3">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4B8762AB">
            <w:pPr>
              <w:widowControl/>
              <w:autoSpaceDE/>
              <w:autoSpaceDN/>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　</w:t>
            </w:r>
          </w:p>
        </w:tc>
      </w:tr>
    </w:tbl>
    <w:p w14:paraId="10230F60">
      <w:pPr>
        <w:rPr>
          <w:lang w:eastAsia="zh-CN"/>
        </w:rPr>
      </w:pP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14:paraId="41B91FDD">
      <w:pPr>
        <w:pStyle w:val="20"/>
        <w:spacing w:line="360" w:lineRule="auto"/>
        <w:ind w:right="121" w:firstLine="480" w:firstLineChars="200"/>
        <w:jc w:val="both"/>
        <w:rPr>
          <w:lang w:eastAsia="zh-CN"/>
        </w:rPr>
      </w:pPr>
      <w:r>
        <w:rPr>
          <w:lang w:eastAsia="zh-CN"/>
        </w:rPr>
        <w:t>2.参选文件存在重大偏差的。</w:t>
      </w:r>
    </w:p>
    <w:p w14:paraId="76083CC5">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14:paraId="35104974">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14:paraId="4CDEB298">
      <w:pPr>
        <w:spacing w:before="15" w:line="360" w:lineRule="auto"/>
        <w:ind w:firstLine="534" w:firstLineChars="200"/>
        <w:rPr>
          <w:b/>
          <w:w w:val="95"/>
          <w:sz w:val="28"/>
          <w:lang w:eastAsia="zh-CN"/>
        </w:rPr>
      </w:pPr>
      <w:r>
        <w:rPr>
          <w:b/>
          <w:w w:val="95"/>
          <w:sz w:val="28"/>
          <w:lang w:eastAsia="zh-CN"/>
        </w:rPr>
        <w:t>五、评选</w:t>
      </w:r>
    </w:p>
    <w:p w14:paraId="167647B0">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14:paraId="52A8F5F1">
      <w:pPr>
        <w:pStyle w:val="20"/>
        <w:spacing w:line="360" w:lineRule="auto"/>
        <w:ind w:right="121" w:firstLine="480" w:firstLineChars="200"/>
        <w:jc w:val="both"/>
        <w:rPr>
          <w:lang w:eastAsia="zh-CN"/>
        </w:rPr>
      </w:pPr>
      <w:r>
        <w:rPr>
          <w:lang w:eastAsia="zh-CN"/>
        </w:rPr>
        <w:t>2.在开选时没有启封和读出的参选文件，在评选时将不予考虑。</w:t>
      </w:r>
    </w:p>
    <w:p w14:paraId="36EFF192">
      <w:pPr>
        <w:pStyle w:val="20"/>
        <w:spacing w:line="360" w:lineRule="auto"/>
        <w:ind w:right="121" w:firstLine="480" w:firstLineChars="200"/>
        <w:jc w:val="both"/>
        <w:rPr>
          <w:lang w:eastAsia="zh-CN"/>
        </w:rPr>
      </w:pPr>
      <w:r>
        <w:rPr>
          <w:lang w:eastAsia="zh-CN"/>
        </w:rPr>
        <w:t>3.比选人将做开选记录。</w:t>
      </w:r>
    </w:p>
    <w:p w14:paraId="3634C357">
      <w:pPr>
        <w:pStyle w:val="20"/>
        <w:spacing w:line="360" w:lineRule="auto"/>
        <w:ind w:right="121" w:firstLine="480" w:firstLineChars="200"/>
        <w:jc w:val="both"/>
        <w:rPr>
          <w:lang w:eastAsia="zh-CN"/>
        </w:rPr>
      </w:pPr>
      <w:r>
        <w:rPr>
          <w:rFonts w:hint="eastAsia"/>
          <w:lang w:eastAsia="zh-CN"/>
        </w:rPr>
        <w:t>4.业主将根据评选结果与中选人签订合同。</w:t>
      </w:r>
    </w:p>
    <w:p w14:paraId="74A86D8A">
      <w:pPr>
        <w:pStyle w:val="20"/>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0"/>
        <w:spacing w:line="360" w:lineRule="auto"/>
        <w:ind w:right="121" w:firstLine="480" w:firstLineChars="200"/>
        <w:jc w:val="both"/>
        <w:rPr>
          <w:lang w:eastAsia="zh-CN"/>
        </w:rPr>
      </w:pPr>
      <w:r>
        <w:rPr>
          <w:lang w:eastAsia="zh-CN"/>
        </w:rPr>
        <w:t>1.比选人将把合同授予中选人；在授予前，仍需进行资格审查。</w:t>
      </w:r>
    </w:p>
    <w:p w14:paraId="7EA73BF4">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14:paraId="70B3F1C1">
      <w:pPr>
        <w:pStyle w:val="20"/>
        <w:spacing w:line="360" w:lineRule="auto"/>
        <w:ind w:right="121" w:firstLine="480" w:firstLineChars="200"/>
        <w:jc w:val="both"/>
        <w:rPr>
          <w:lang w:eastAsia="zh-CN"/>
        </w:rPr>
      </w:pPr>
      <w:r>
        <w:rPr>
          <w:lang w:eastAsia="zh-CN"/>
        </w:rPr>
        <w:t>3.中选通知对比选人和参选人具有法律效力。</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权属子公司“翔鹭石化（漳州）有限公司”作为本合同执行主体，将于中选结果公示流程结束之日起30日内与中选人完成合同签订事宜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424E6B87">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14:paraId="558001F8">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2AD85E76">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1AE9FDCE">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64488193">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4C9FD7B7">
      <w:pPr>
        <w:pStyle w:val="20"/>
        <w:spacing w:line="360" w:lineRule="auto"/>
        <w:ind w:right="121" w:firstLine="480" w:firstLineChars="200"/>
        <w:jc w:val="both"/>
        <w:rPr>
          <w:lang w:eastAsia="zh-CN"/>
        </w:rPr>
      </w:pPr>
      <w:r>
        <w:rPr>
          <w:lang w:eastAsia="zh-CN"/>
        </w:rPr>
        <w:t>2.中选单位必须严格执行</w:t>
      </w:r>
      <w:r>
        <w:rPr>
          <w:rFonts w:hint="eastAsia"/>
          <w:lang w:eastAsia="zh-CN"/>
        </w:rPr>
        <w:t>技术咨询服务合同</w:t>
      </w:r>
      <w:r>
        <w:rPr>
          <w:lang w:eastAsia="zh-CN"/>
        </w:rPr>
        <w:t>（详见附件一）的规定。</w:t>
      </w:r>
    </w:p>
    <w:p w14:paraId="2B23763A">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0A7B5462">
      <w:pPr>
        <w:pStyle w:val="20"/>
        <w:spacing w:before="26" w:line="321" w:lineRule="auto"/>
        <w:ind w:left="118" w:right="106" w:firstLine="480"/>
        <w:jc w:val="both"/>
        <w:rPr>
          <w:lang w:eastAsia="zh-CN"/>
        </w:rPr>
      </w:pPr>
    </w:p>
    <w:p w14:paraId="3860E7C1">
      <w:pPr>
        <w:pStyle w:val="3"/>
        <w:tabs>
          <w:tab w:val="left" w:pos="1912"/>
        </w:tabs>
        <w:spacing w:line="355" w:lineRule="exact"/>
        <w:ind w:left="647" w:firstLine="3092" w:firstLineChars="1100"/>
        <w:jc w:val="both"/>
        <w:rPr>
          <w:lang w:eastAsia="zh-CN"/>
        </w:rPr>
      </w:pPr>
    </w:p>
    <w:p w14:paraId="78A79AC5">
      <w:pPr>
        <w:pStyle w:val="3"/>
        <w:tabs>
          <w:tab w:val="left" w:pos="1912"/>
        </w:tabs>
        <w:spacing w:line="355" w:lineRule="exact"/>
        <w:ind w:left="647" w:firstLine="3092" w:firstLineChars="1100"/>
        <w:jc w:val="both"/>
        <w:rPr>
          <w:lang w:eastAsia="zh-CN"/>
        </w:rPr>
      </w:pPr>
    </w:p>
    <w:p w14:paraId="50E97898">
      <w:pPr>
        <w:pStyle w:val="3"/>
        <w:tabs>
          <w:tab w:val="left" w:pos="1912"/>
        </w:tabs>
        <w:spacing w:line="355" w:lineRule="exact"/>
        <w:ind w:left="647" w:firstLine="3092" w:firstLineChars="1100"/>
        <w:jc w:val="both"/>
        <w:rPr>
          <w:lang w:eastAsia="zh-CN"/>
        </w:rPr>
      </w:pPr>
    </w:p>
    <w:p w14:paraId="27C430F8">
      <w:pPr>
        <w:pStyle w:val="3"/>
        <w:tabs>
          <w:tab w:val="left" w:pos="1912"/>
        </w:tabs>
        <w:spacing w:line="355" w:lineRule="exact"/>
        <w:ind w:left="647" w:firstLine="3092" w:firstLineChars="1100"/>
        <w:jc w:val="both"/>
        <w:rPr>
          <w:lang w:eastAsia="zh-CN"/>
        </w:rPr>
      </w:pPr>
    </w:p>
    <w:p w14:paraId="2C975417">
      <w:pPr>
        <w:pStyle w:val="3"/>
        <w:tabs>
          <w:tab w:val="left" w:pos="1912"/>
        </w:tabs>
        <w:spacing w:line="355" w:lineRule="exact"/>
        <w:ind w:left="647" w:firstLine="3092" w:firstLineChars="1100"/>
        <w:jc w:val="both"/>
        <w:rPr>
          <w:lang w:eastAsia="zh-CN"/>
        </w:rPr>
      </w:pPr>
    </w:p>
    <w:p w14:paraId="4481C076">
      <w:pPr>
        <w:pStyle w:val="3"/>
        <w:tabs>
          <w:tab w:val="left" w:pos="1912"/>
        </w:tabs>
        <w:spacing w:line="355" w:lineRule="exact"/>
        <w:ind w:left="647" w:firstLine="3092" w:firstLineChars="1100"/>
        <w:jc w:val="both"/>
        <w:rPr>
          <w:lang w:eastAsia="zh-CN"/>
        </w:rPr>
      </w:pPr>
    </w:p>
    <w:p w14:paraId="40C13AFF">
      <w:pPr>
        <w:pStyle w:val="3"/>
        <w:tabs>
          <w:tab w:val="left" w:pos="1912"/>
        </w:tabs>
        <w:spacing w:line="355" w:lineRule="exact"/>
        <w:ind w:left="647" w:firstLine="3092" w:firstLineChars="1100"/>
        <w:jc w:val="both"/>
        <w:rPr>
          <w:lang w:eastAsia="zh-CN"/>
        </w:rPr>
      </w:pPr>
    </w:p>
    <w:p w14:paraId="50011117">
      <w:pPr>
        <w:pStyle w:val="3"/>
        <w:tabs>
          <w:tab w:val="left" w:pos="1912"/>
        </w:tabs>
        <w:spacing w:line="355" w:lineRule="exact"/>
        <w:ind w:left="647" w:firstLine="3092" w:firstLineChars="1100"/>
        <w:jc w:val="both"/>
        <w:rPr>
          <w:lang w:eastAsia="zh-CN"/>
        </w:rPr>
      </w:pPr>
    </w:p>
    <w:p w14:paraId="53F991FF">
      <w:pPr>
        <w:pStyle w:val="3"/>
        <w:tabs>
          <w:tab w:val="left" w:pos="1912"/>
        </w:tabs>
        <w:spacing w:line="355" w:lineRule="exact"/>
        <w:ind w:left="647" w:firstLine="3092" w:firstLineChars="1100"/>
        <w:jc w:val="both"/>
        <w:rPr>
          <w:lang w:eastAsia="zh-CN"/>
        </w:rPr>
      </w:pPr>
    </w:p>
    <w:p w14:paraId="2862BA08">
      <w:pPr>
        <w:pStyle w:val="3"/>
        <w:tabs>
          <w:tab w:val="left" w:pos="1912"/>
        </w:tabs>
        <w:spacing w:line="355" w:lineRule="exact"/>
        <w:ind w:left="647" w:firstLine="3092" w:firstLineChars="1100"/>
        <w:jc w:val="both"/>
        <w:rPr>
          <w:lang w:eastAsia="zh-CN"/>
        </w:rPr>
      </w:pPr>
    </w:p>
    <w:p w14:paraId="6E8788F0">
      <w:pPr>
        <w:pStyle w:val="3"/>
        <w:tabs>
          <w:tab w:val="left" w:pos="1912"/>
        </w:tabs>
        <w:spacing w:line="355" w:lineRule="exact"/>
        <w:ind w:left="647" w:firstLine="3092" w:firstLineChars="1100"/>
        <w:jc w:val="both"/>
        <w:rPr>
          <w:lang w:eastAsia="zh-CN"/>
        </w:rPr>
      </w:pPr>
    </w:p>
    <w:p w14:paraId="609D5CB1">
      <w:pPr>
        <w:pStyle w:val="3"/>
        <w:tabs>
          <w:tab w:val="left" w:pos="1912"/>
        </w:tabs>
        <w:spacing w:line="355" w:lineRule="exact"/>
        <w:ind w:left="647" w:firstLine="3092" w:firstLineChars="1100"/>
        <w:jc w:val="both"/>
        <w:rPr>
          <w:lang w:eastAsia="zh-CN"/>
        </w:rPr>
      </w:pPr>
    </w:p>
    <w:p w14:paraId="0FF9D5BC">
      <w:pPr>
        <w:pStyle w:val="3"/>
        <w:tabs>
          <w:tab w:val="left" w:pos="1912"/>
        </w:tabs>
        <w:spacing w:line="355" w:lineRule="exact"/>
        <w:ind w:left="647" w:firstLine="3092" w:firstLineChars="1100"/>
        <w:jc w:val="both"/>
        <w:rPr>
          <w:lang w:eastAsia="zh-CN"/>
        </w:rPr>
      </w:pPr>
    </w:p>
    <w:p w14:paraId="7E894231">
      <w:pPr>
        <w:pStyle w:val="3"/>
        <w:tabs>
          <w:tab w:val="left" w:pos="1912"/>
        </w:tabs>
        <w:spacing w:line="355" w:lineRule="exact"/>
        <w:ind w:left="647" w:firstLine="3092" w:firstLineChars="1100"/>
        <w:jc w:val="both"/>
        <w:rPr>
          <w:lang w:eastAsia="zh-CN"/>
        </w:rPr>
      </w:pPr>
    </w:p>
    <w:p w14:paraId="72BD5B24">
      <w:pPr>
        <w:pStyle w:val="3"/>
        <w:tabs>
          <w:tab w:val="left" w:pos="1912"/>
        </w:tabs>
        <w:spacing w:line="355" w:lineRule="exact"/>
        <w:ind w:left="647" w:firstLine="3092" w:firstLineChars="1100"/>
        <w:jc w:val="both"/>
        <w:rPr>
          <w:lang w:eastAsia="zh-CN"/>
        </w:rPr>
      </w:pPr>
    </w:p>
    <w:p w14:paraId="655E7255">
      <w:pPr>
        <w:pStyle w:val="3"/>
        <w:tabs>
          <w:tab w:val="left" w:pos="1912"/>
        </w:tabs>
        <w:spacing w:line="355" w:lineRule="exact"/>
        <w:ind w:left="647" w:firstLine="3092" w:firstLineChars="1100"/>
        <w:jc w:val="both"/>
        <w:rPr>
          <w:lang w:eastAsia="zh-CN"/>
        </w:rPr>
      </w:pPr>
    </w:p>
    <w:p w14:paraId="73550343">
      <w:pPr>
        <w:pStyle w:val="3"/>
        <w:tabs>
          <w:tab w:val="left" w:pos="1912"/>
        </w:tabs>
        <w:spacing w:line="355" w:lineRule="exact"/>
        <w:ind w:left="647" w:firstLine="3092" w:firstLineChars="1100"/>
        <w:jc w:val="both"/>
        <w:rPr>
          <w:lang w:eastAsia="zh-CN"/>
        </w:rPr>
      </w:pPr>
    </w:p>
    <w:p w14:paraId="1F6B201F">
      <w:pPr>
        <w:pStyle w:val="3"/>
        <w:tabs>
          <w:tab w:val="left" w:pos="1912"/>
        </w:tabs>
        <w:spacing w:line="355" w:lineRule="exact"/>
        <w:ind w:left="647" w:firstLine="3092" w:firstLineChars="1100"/>
        <w:jc w:val="both"/>
        <w:rPr>
          <w:lang w:eastAsia="zh-CN"/>
        </w:rPr>
      </w:pPr>
    </w:p>
    <w:p w14:paraId="6BBC059F">
      <w:pPr>
        <w:pStyle w:val="3"/>
        <w:tabs>
          <w:tab w:val="left" w:pos="1912"/>
        </w:tabs>
        <w:spacing w:line="355" w:lineRule="exact"/>
        <w:ind w:left="647" w:firstLine="3092" w:firstLineChars="1100"/>
        <w:jc w:val="both"/>
        <w:rPr>
          <w:lang w:eastAsia="zh-CN"/>
        </w:rPr>
      </w:pPr>
    </w:p>
    <w:p w14:paraId="2730A617">
      <w:pPr>
        <w:pStyle w:val="3"/>
        <w:tabs>
          <w:tab w:val="left" w:pos="1912"/>
        </w:tabs>
        <w:spacing w:line="355" w:lineRule="exact"/>
        <w:ind w:left="647" w:firstLine="3092" w:firstLineChars="1100"/>
        <w:jc w:val="both"/>
        <w:rPr>
          <w:lang w:eastAsia="zh-CN"/>
        </w:rPr>
      </w:pPr>
    </w:p>
    <w:p w14:paraId="1060879E">
      <w:pPr>
        <w:pStyle w:val="3"/>
        <w:tabs>
          <w:tab w:val="left" w:pos="1912"/>
        </w:tabs>
        <w:spacing w:line="355" w:lineRule="exact"/>
        <w:ind w:left="647" w:firstLine="3092" w:firstLineChars="1100"/>
        <w:jc w:val="both"/>
        <w:rPr>
          <w:lang w:eastAsia="zh-CN"/>
        </w:rPr>
      </w:pPr>
    </w:p>
    <w:p w14:paraId="623F61E8">
      <w:pPr>
        <w:pStyle w:val="3"/>
        <w:tabs>
          <w:tab w:val="left" w:pos="1912"/>
        </w:tabs>
        <w:spacing w:line="355" w:lineRule="exact"/>
        <w:ind w:left="647" w:firstLine="3092" w:firstLineChars="1100"/>
        <w:jc w:val="both"/>
        <w:rPr>
          <w:lang w:eastAsia="zh-CN"/>
        </w:rPr>
      </w:pPr>
    </w:p>
    <w:p w14:paraId="349BF340">
      <w:pPr>
        <w:pStyle w:val="3"/>
        <w:tabs>
          <w:tab w:val="left" w:pos="1912"/>
        </w:tabs>
        <w:spacing w:line="355" w:lineRule="exact"/>
        <w:ind w:left="647" w:firstLine="3092" w:firstLineChars="1100"/>
        <w:jc w:val="both"/>
        <w:rPr>
          <w:lang w:eastAsia="zh-CN"/>
        </w:rPr>
      </w:pPr>
    </w:p>
    <w:p w14:paraId="5DCF9C4A">
      <w:pPr>
        <w:pStyle w:val="2"/>
      </w:pPr>
    </w:p>
    <w:p w14:paraId="00ABAC03">
      <w:pPr>
        <w:pStyle w:val="2"/>
      </w:pPr>
    </w:p>
    <w:p w14:paraId="54F29C7F">
      <w:pPr>
        <w:pStyle w:val="2"/>
      </w:pPr>
    </w:p>
    <w:p w14:paraId="7A6A90D2">
      <w:pPr>
        <w:pStyle w:val="2"/>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0"/>
        <w:spacing w:line="360" w:lineRule="auto"/>
        <w:ind w:right="121" w:firstLine="480" w:firstLineChars="200"/>
        <w:jc w:val="both"/>
        <w:rPr>
          <w:lang w:eastAsia="zh-CN"/>
        </w:rPr>
      </w:pPr>
      <w:r>
        <w:rPr>
          <w:lang w:eastAsia="zh-CN"/>
        </w:rPr>
        <w:t>1.参选人的参选文件无论其是否中选，均不退回。</w:t>
      </w:r>
    </w:p>
    <w:p w14:paraId="1BA76255">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14:paraId="7F741EBB">
      <w:pPr>
        <w:pStyle w:val="20"/>
        <w:spacing w:line="360" w:lineRule="auto"/>
        <w:ind w:right="121" w:firstLine="480" w:firstLineChars="200"/>
        <w:jc w:val="both"/>
        <w:rPr>
          <w:lang w:eastAsia="zh-CN"/>
        </w:rPr>
      </w:pPr>
      <w:r>
        <w:rPr>
          <w:lang w:eastAsia="zh-CN"/>
        </w:rPr>
        <w:t>3.本比选文件的解释权归福建福海创石油化工有限公司。</w:t>
      </w:r>
    </w:p>
    <w:p w14:paraId="24CBF38E">
      <w:pPr>
        <w:pStyle w:val="20"/>
        <w:spacing w:line="360" w:lineRule="auto"/>
        <w:ind w:left="215"/>
        <w:rPr>
          <w:lang w:eastAsia="zh-CN"/>
        </w:rPr>
      </w:pPr>
      <w:r>
        <w:rPr>
          <w:lang w:eastAsia="zh-CN"/>
        </w:rPr>
        <w:br w:type="page"/>
      </w:r>
    </w:p>
    <w:p w14:paraId="3F4B5FBC">
      <w:pPr>
        <w:pStyle w:val="20"/>
        <w:rPr>
          <w:rFonts w:ascii="Times New Roman"/>
          <w:b/>
          <w:bCs/>
          <w:lang w:eastAsia="zh-CN"/>
        </w:rPr>
      </w:pPr>
      <w:r>
        <w:rPr>
          <w:rFonts w:hint="eastAsia" w:ascii="Times New Roman"/>
          <w:b/>
          <w:bCs/>
          <w:lang w:eastAsia="zh-CN"/>
        </w:rPr>
        <w:t>附件一、</w:t>
      </w:r>
    </w:p>
    <w:p w14:paraId="49A47E45">
      <w:pPr>
        <w:jc w:val="center"/>
        <w:rPr>
          <w:b/>
          <w:sz w:val="44"/>
          <w:szCs w:val="44"/>
          <w:lang w:eastAsia="zh-CN"/>
        </w:rPr>
      </w:pPr>
      <w:bookmarkStart w:id="1" w:name="_Toc251742852"/>
    </w:p>
    <w:p w14:paraId="468D0824">
      <w:pPr>
        <w:jc w:val="center"/>
        <w:rPr>
          <w:b/>
          <w:sz w:val="44"/>
          <w:szCs w:val="44"/>
          <w:lang w:eastAsia="zh-CN"/>
        </w:rPr>
      </w:pPr>
      <w:r>
        <w:rPr>
          <w:rFonts w:hint="eastAsia"/>
          <w:b/>
          <w:sz w:val="44"/>
          <w:szCs w:val="44"/>
          <w:lang w:eastAsia="zh-CN"/>
        </w:rPr>
        <w:t>翔鹭石化（漳州）有限公司</w:t>
      </w:r>
    </w:p>
    <w:p w14:paraId="2B7E1636">
      <w:pPr>
        <w:jc w:val="center"/>
        <w:rPr>
          <w:b/>
          <w:sz w:val="44"/>
          <w:szCs w:val="44"/>
          <w:lang w:eastAsia="zh-CN"/>
        </w:rPr>
      </w:pPr>
    </w:p>
    <w:p w14:paraId="1F26D3E3">
      <w:pPr>
        <w:jc w:val="center"/>
        <w:rPr>
          <w:b/>
          <w:color w:val="000000"/>
          <w:sz w:val="44"/>
          <w:szCs w:val="44"/>
          <w:lang w:eastAsia="zh-CN"/>
        </w:rPr>
      </w:pPr>
    </w:p>
    <w:p w14:paraId="2F9B5CC5">
      <w:pPr>
        <w:pStyle w:val="2"/>
      </w:pPr>
    </w:p>
    <w:p w14:paraId="78BF0644">
      <w:pPr>
        <w:spacing w:line="480" w:lineRule="exact"/>
        <w:jc w:val="center"/>
        <w:rPr>
          <w:b/>
          <w:color w:val="000000"/>
          <w:sz w:val="44"/>
          <w:szCs w:val="44"/>
          <w:lang w:eastAsia="zh-CN"/>
        </w:rPr>
      </w:pPr>
      <w:r>
        <w:rPr>
          <w:b/>
          <w:color w:val="000000"/>
          <w:sz w:val="44"/>
          <w:szCs w:val="44"/>
          <w:lang w:eastAsia="zh-CN"/>
        </w:rPr>
        <w:t>PTA现场人员用房外部爆炸冲击波影响评估技术服务咨询合同</w:t>
      </w:r>
    </w:p>
    <w:p w14:paraId="5360486D">
      <w:pPr>
        <w:spacing w:line="480" w:lineRule="exact"/>
        <w:jc w:val="center"/>
        <w:rPr>
          <w:b/>
          <w:color w:val="000000"/>
          <w:sz w:val="44"/>
          <w:szCs w:val="44"/>
          <w:lang w:eastAsia="zh-CN"/>
        </w:rPr>
      </w:pPr>
    </w:p>
    <w:p w14:paraId="2FC762D4">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14:paraId="0F2721B5">
      <w:pPr>
        <w:rPr>
          <w:b/>
          <w:sz w:val="30"/>
          <w:lang w:eastAsia="zh-CN"/>
        </w:rPr>
      </w:pPr>
    </w:p>
    <w:p w14:paraId="6B44C331">
      <w:pPr>
        <w:rPr>
          <w:b/>
          <w:sz w:val="30"/>
          <w:lang w:eastAsia="zh-CN"/>
        </w:rPr>
      </w:pPr>
    </w:p>
    <w:p w14:paraId="48010F9C">
      <w:pPr>
        <w:rPr>
          <w:b/>
          <w:sz w:val="30"/>
          <w:lang w:eastAsia="zh-CN"/>
        </w:rPr>
      </w:pPr>
    </w:p>
    <w:p w14:paraId="6BC0A138">
      <w:pPr>
        <w:rPr>
          <w:b/>
          <w:sz w:val="30"/>
          <w:lang w:eastAsia="zh-CN"/>
        </w:rPr>
      </w:pPr>
    </w:p>
    <w:p w14:paraId="57F5E178">
      <w:pPr>
        <w:rPr>
          <w:b/>
          <w:sz w:val="30"/>
          <w:lang w:eastAsia="zh-CN"/>
        </w:rPr>
      </w:pPr>
    </w:p>
    <w:p w14:paraId="0ED7A9D0">
      <w:pPr>
        <w:rPr>
          <w:b/>
          <w:sz w:val="30"/>
          <w:lang w:eastAsia="zh-CN"/>
        </w:rPr>
      </w:pPr>
    </w:p>
    <w:p w14:paraId="029A55A7">
      <w:pPr>
        <w:ind w:firstLine="960" w:firstLineChars="300"/>
        <w:rPr>
          <w:sz w:val="32"/>
          <w:szCs w:val="32"/>
          <w:lang w:eastAsia="zh-CN"/>
        </w:rPr>
      </w:pPr>
      <w:r>
        <w:rPr>
          <w:rFonts w:hint="eastAsia"/>
          <w:sz w:val="32"/>
          <w:szCs w:val="32"/>
          <w:lang w:eastAsia="zh-CN"/>
        </w:rPr>
        <w:t>委托方：翔鹭石化（漳州）有限公司</w:t>
      </w:r>
    </w:p>
    <w:p w14:paraId="75D486E9">
      <w:pPr>
        <w:ind w:firstLine="960" w:firstLineChars="300"/>
        <w:rPr>
          <w:sz w:val="32"/>
          <w:szCs w:val="32"/>
          <w:lang w:eastAsia="zh-CN"/>
        </w:rPr>
      </w:pPr>
      <w:r>
        <w:rPr>
          <w:rFonts w:hint="eastAsia"/>
          <w:sz w:val="32"/>
          <w:szCs w:val="32"/>
          <w:lang w:eastAsia="zh-CN"/>
        </w:rPr>
        <w:t xml:space="preserve">受托方： </w:t>
      </w:r>
    </w:p>
    <w:p w14:paraId="75488F08">
      <w:pPr>
        <w:ind w:firstLine="800" w:firstLineChars="250"/>
        <w:rPr>
          <w:sz w:val="32"/>
          <w:szCs w:val="32"/>
          <w:lang w:eastAsia="zh-CN"/>
        </w:rPr>
      </w:pPr>
    </w:p>
    <w:p w14:paraId="7BA41685">
      <w:pPr>
        <w:tabs>
          <w:tab w:val="right" w:pos="9638"/>
        </w:tabs>
        <w:jc w:val="center"/>
        <w:rPr>
          <w:sz w:val="32"/>
          <w:szCs w:val="32"/>
          <w:lang w:eastAsia="zh-CN"/>
        </w:rPr>
      </w:pPr>
      <w:r>
        <w:rPr>
          <w:rFonts w:hint="eastAsia"/>
          <w:sz w:val="32"/>
          <w:szCs w:val="32"/>
          <w:lang w:eastAsia="zh-CN"/>
        </w:rPr>
        <w:t>日    期: 20</w:t>
      </w:r>
      <w:r>
        <w:rPr>
          <w:sz w:val="32"/>
          <w:szCs w:val="32"/>
          <w:lang w:eastAsia="zh-CN"/>
        </w:rPr>
        <w:t>24</w:t>
      </w:r>
      <w:r>
        <w:rPr>
          <w:rFonts w:hint="eastAsia"/>
          <w:sz w:val="32"/>
          <w:szCs w:val="32"/>
          <w:lang w:eastAsia="zh-CN"/>
        </w:rPr>
        <w:t>年</w:t>
      </w:r>
      <w:r>
        <w:rPr>
          <w:sz w:val="32"/>
          <w:szCs w:val="32"/>
          <w:lang w:eastAsia="zh-CN"/>
        </w:rPr>
        <w:t>12</w:t>
      </w:r>
      <w:r>
        <w:rPr>
          <w:rFonts w:hint="eastAsia"/>
          <w:sz w:val="32"/>
          <w:szCs w:val="32"/>
          <w:lang w:eastAsia="zh-CN"/>
        </w:rPr>
        <w:t>月  日</w:t>
      </w:r>
    </w:p>
    <w:p w14:paraId="6100ECD1">
      <w:pPr>
        <w:tabs>
          <w:tab w:val="left" w:pos="2130"/>
          <w:tab w:val="center" w:pos="4535"/>
        </w:tabs>
        <w:jc w:val="center"/>
        <w:rPr>
          <w:b/>
          <w:sz w:val="30"/>
          <w:szCs w:val="30"/>
          <w:lang w:eastAsia="zh-CN"/>
        </w:rPr>
      </w:pPr>
    </w:p>
    <w:p w14:paraId="7B89FB8B">
      <w:pPr>
        <w:pStyle w:val="25"/>
        <w:spacing w:line="400" w:lineRule="exact"/>
        <w:rPr>
          <w:rFonts w:hAnsi="宋体"/>
          <w:lang w:eastAsia="zh-CN"/>
        </w:rPr>
      </w:pPr>
      <w:r>
        <w:rPr>
          <w:b/>
          <w:sz w:val="30"/>
          <w:szCs w:val="30"/>
          <w:lang w:eastAsia="zh-CN"/>
        </w:rPr>
        <w:br w:type="page"/>
      </w:r>
      <w:r>
        <w:rPr>
          <w:rFonts w:hAnsi="宋体"/>
          <w:lang w:eastAsia="zh-CN"/>
        </w:rPr>
        <w:t>委托方（甲方）</w:t>
      </w:r>
      <w:r>
        <w:rPr>
          <w:rFonts w:hint="eastAsia" w:hAnsi="宋体"/>
          <w:lang w:eastAsia="zh-CN"/>
        </w:rPr>
        <w:t>：</w:t>
      </w:r>
      <w:r>
        <w:rPr>
          <w:rFonts w:hAnsi="宋体"/>
          <w:lang w:eastAsia="zh-CN"/>
        </w:rPr>
        <w:t xml:space="preserve"> </w:t>
      </w:r>
      <w:r>
        <w:rPr>
          <w:rFonts w:hint="eastAsia" w:hAnsi="宋体"/>
          <w:lang w:eastAsia="zh-CN"/>
        </w:rPr>
        <w:t>翔鹭</w:t>
      </w:r>
      <w:r>
        <w:rPr>
          <w:rFonts w:hAnsi="宋体"/>
          <w:lang w:eastAsia="zh-CN"/>
        </w:rPr>
        <w:t>石化</w:t>
      </w:r>
      <w:r>
        <w:rPr>
          <w:rFonts w:hint="eastAsia" w:hAnsi="宋体"/>
          <w:lang w:eastAsia="zh-CN"/>
        </w:rPr>
        <w:t>（漳州）有限公司</w:t>
      </w:r>
    </w:p>
    <w:p w14:paraId="7783F9BB">
      <w:pPr>
        <w:pStyle w:val="25"/>
        <w:spacing w:line="400" w:lineRule="exact"/>
        <w:rPr>
          <w:rFonts w:hAnsi="宋体"/>
          <w:lang w:eastAsia="zh-CN"/>
        </w:rPr>
      </w:pPr>
      <w:r>
        <w:rPr>
          <w:rFonts w:hAnsi="宋体"/>
          <w:lang w:eastAsia="zh-CN"/>
        </w:rPr>
        <w:t>住  所  地：漳州市古雷经济开发区腾龙路</w:t>
      </w:r>
      <w:r>
        <w:rPr>
          <w:rFonts w:hint="eastAsia" w:hAnsi="宋体"/>
          <w:lang w:eastAsia="zh-CN"/>
        </w:rPr>
        <w:t>8</w:t>
      </w:r>
      <w:r>
        <w:rPr>
          <w:rFonts w:hAnsi="宋体"/>
          <w:lang w:eastAsia="zh-CN"/>
        </w:rPr>
        <w:t>6号</w:t>
      </w:r>
    </w:p>
    <w:p w14:paraId="1D106D0D">
      <w:pPr>
        <w:pStyle w:val="25"/>
        <w:spacing w:line="400" w:lineRule="exact"/>
        <w:rPr>
          <w:rFonts w:hAnsi="宋体"/>
          <w:lang w:eastAsia="zh-CN"/>
        </w:rPr>
      </w:pPr>
      <w:r>
        <w:rPr>
          <w:rFonts w:hAnsi="宋体"/>
          <w:lang w:eastAsia="zh-CN"/>
        </w:rPr>
        <w:t>法定代表人</w:t>
      </w:r>
      <w:r>
        <w:rPr>
          <w:rFonts w:hint="eastAsia" w:hAnsi="宋体"/>
          <w:lang w:eastAsia="zh-CN"/>
        </w:rPr>
        <w:t>：连毅敏</w:t>
      </w:r>
    </w:p>
    <w:p w14:paraId="1A3457C7">
      <w:pPr>
        <w:pStyle w:val="25"/>
        <w:spacing w:line="400" w:lineRule="exact"/>
        <w:rPr>
          <w:rFonts w:hAnsi="宋体"/>
          <w:lang w:eastAsia="zh-CN"/>
        </w:rPr>
      </w:pPr>
      <w:r>
        <w:rPr>
          <w:rFonts w:hAnsi="宋体"/>
          <w:lang w:eastAsia="zh-CN"/>
        </w:rPr>
        <w:t>项目联系人</w:t>
      </w:r>
      <w:r>
        <w:rPr>
          <w:rFonts w:hint="eastAsia" w:hAnsi="宋体"/>
          <w:lang w:eastAsia="zh-CN"/>
        </w:rPr>
        <w:t>：罗天杰</w:t>
      </w:r>
    </w:p>
    <w:p w14:paraId="65182EC7">
      <w:pPr>
        <w:pStyle w:val="25"/>
        <w:spacing w:line="400" w:lineRule="exact"/>
        <w:rPr>
          <w:rFonts w:hAnsi="宋体"/>
          <w:lang w:eastAsia="zh-CN"/>
        </w:rPr>
      </w:pPr>
      <w:r>
        <w:rPr>
          <w:rFonts w:hAnsi="宋体"/>
          <w:lang w:eastAsia="zh-CN"/>
        </w:rPr>
        <w:t>通讯地址</w:t>
      </w:r>
      <w:r>
        <w:rPr>
          <w:rFonts w:hint="eastAsia" w:hAnsi="宋体"/>
          <w:lang w:eastAsia="zh-CN"/>
        </w:rPr>
        <w:t>：</w:t>
      </w:r>
      <w:r>
        <w:rPr>
          <w:rFonts w:hAnsi="宋体"/>
          <w:lang w:eastAsia="zh-CN"/>
        </w:rPr>
        <w:t>漳州市古雷经济开发区腾龙路</w:t>
      </w:r>
      <w:r>
        <w:rPr>
          <w:rFonts w:hint="eastAsia" w:hAnsi="宋体"/>
          <w:lang w:eastAsia="zh-CN"/>
        </w:rPr>
        <w:t>8</w:t>
      </w:r>
      <w:r>
        <w:rPr>
          <w:rFonts w:hAnsi="宋体"/>
          <w:lang w:eastAsia="zh-CN"/>
        </w:rPr>
        <w:t>6号</w:t>
      </w:r>
    </w:p>
    <w:p w14:paraId="6BC77F0D">
      <w:pPr>
        <w:widowControl/>
        <w:autoSpaceDE/>
        <w:autoSpaceDN/>
        <w:spacing w:line="240" w:lineRule="atLeast"/>
        <w:rPr>
          <w:rFonts w:ascii="Arial" w:hAnsi="Arial" w:cs="Arial"/>
          <w:color w:val="111111"/>
          <w:sz w:val="18"/>
          <w:szCs w:val="18"/>
          <w:lang w:eastAsia="zh-CN"/>
        </w:rPr>
      </w:pPr>
      <w:r>
        <w:rPr>
          <w:lang w:eastAsia="zh-CN"/>
        </w:rPr>
        <w:t>电    话</w:t>
      </w:r>
      <w:r>
        <w:rPr>
          <w:rFonts w:hint="eastAsia"/>
          <w:lang w:eastAsia="zh-CN"/>
        </w:rPr>
        <w:t>：</w:t>
      </w:r>
      <w:r>
        <w:rPr>
          <w:rFonts w:cs="Courier New"/>
          <w:szCs w:val="21"/>
          <w:lang w:eastAsia="zh-CN"/>
        </w:rPr>
        <w:t>0596-6088632/13599901836</w:t>
      </w:r>
    </w:p>
    <w:p w14:paraId="5F62121A">
      <w:pPr>
        <w:pStyle w:val="25"/>
        <w:spacing w:line="400" w:lineRule="exact"/>
        <w:rPr>
          <w:rFonts w:hAnsi="宋体"/>
          <w:lang w:eastAsia="zh-CN"/>
        </w:rPr>
      </w:pPr>
      <w:r>
        <w:rPr>
          <w:rFonts w:hAnsi="宋体"/>
          <w:lang w:eastAsia="zh-CN"/>
        </w:rPr>
        <w:t>传</w:t>
      </w:r>
      <w:r>
        <w:rPr>
          <w:rFonts w:hint="eastAsia" w:hAnsi="宋体"/>
          <w:lang w:eastAsia="zh-CN"/>
        </w:rPr>
        <w:t xml:space="preserve">  </w:t>
      </w:r>
      <w:r>
        <w:rPr>
          <w:rFonts w:hAnsi="宋体"/>
          <w:lang w:eastAsia="zh-CN"/>
        </w:rPr>
        <w:t xml:space="preserve">  真</w:t>
      </w:r>
      <w:r>
        <w:rPr>
          <w:rFonts w:hint="eastAsia" w:hAnsi="宋体"/>
          <w:lang w:eastAsia="zh-CN"/>
        </w:rPr>
        <w:t>：/</w:t>
      </w:r>
    </w:p>
    <w:p w14:paraId="505D5D5D">
      <w:pPr>
        <w:pStyle w:val="25"/>
        <w:spacing w:line="400" w:lineRule="exact"/>
        <w:rPr>
          <w:rFonts w:hAnsi="宋体"/>
          <w:lang w:eastAsia="zh-CN"/>
        </w:rPr>
      </w:pPr>
      <w:r>
        <w:rPr>
          <w:rFonts w:hAnsi="宋体"/>
          <w:lang w:eastAsia="zh-CN"/>
        </w:rPr>
        <w:t>电子信箱</w:t>
      </w:r>
      <w:r>
        <w:rPr>
          <w:rFonts w:hint="eastAsia" w:hAnsi="宋体"/>
          <w:lang w:eastAsia="zh-CN"/>
        </w:rPr>
        <w:t>：</w:t>
      </w:r>
      <w:r>
        <w:rPr>
          <w:rFonts w:hAnsi="宋体"/>
          <w:lang w:eastAsia="zh-CN"/>
        </w:rPr>
        <w:t>tjluo@fhcpec.com.cn</w:t>
      </w:r>
    </w:p>
    <w:p w14:paraId="28D3A489">
      <w:pPr>
        <w:pStyle w:val="25"/>
        <w:spacing w:line="400" w:lineRule="exact"/>
        <w:rPr>
          <w:rFonts w:hAnsi="宋体"/>
          <w:lang w:eastAsia="zh-CN"/>
        </w:rPr>
      </w:pPr>
    </w:p>
    <w:p w14:paraId="5A5BD6E3">
      <w:pPr>
        <w:pStyle w:val="25"/>
        <w:spacing w:line="400" w:lineRule="exact"/>
        <w:rPr>
          <w:rFonts w:hAnsi="宋体"/>
          <w:lang w:eastAsia="zh-CN"/>
        </w:rPr>
      </w:pPr>
      <w:r>
        <w:rPr>
          <w:rFonts w:hAnsi="宋体"/>
          <w:lang w:eastAsia="zh-CN"/>
        </w:rPr>
        <w:t>受托方（乙方）</w:t>
      </w:r>
      <w:r>
        <w:rPr>
          <w:rFonts w:hint="eastAsia" w:hAnsi="宋体"/>
          <w:lang w:eastAsia="zh-CN"/>
        </w:rPr>
        <w:t>：</w:t>
      </w:r>
    </w:p>
    <w:p w14:paraId="104FA85F">
      <w:pPr>
        <w:pStyle w:val="25"/>
        <w:spacing w:line="400" w:lineRule="exact"/>
        <w:rPr>
          <w:rFonts w:hAnsi="宋体"/>
          <w:lang w:eastAsia="zh-CN"/>
        </w:rPr>
      </w:pPr>
      <w:r>
        <w:rPr>
          <w:rFonts w:hAnsi="宋体"/>
          <w:lang w:eastAsia="zh-CN"/>
        </w:rPr>
        <w:t>住  所  地</w:t>
      </w:r>
      <w:r>
        <w:rPr>
          <w:rFonts w:hint="eastAsia" w:hAnsi="宋体"/>
          <w:lang w:eastAsia="zh-CN"/>
        </w:rPr>
        <w:t>：</w:t>
      </w:r>
    </w:p>
    <w:p w14:paraId="5AFAF92F">
      <w:pPr>
        <w:pStyle w:val="25"/>
        <w:spacing w:line="400" w:lineRule="exact"/>
        <w:rPr>
          <w:rFonts w:hAnsi="宋体"/>
          <w:lang w:eastAsia="zh-CN"/>
        </w:rPr>
      </w:pPr>
      <w:r>
        <w:rPr>
          <w:rFonts w:hAnsi="宋体"/>
          <w:lang w:eastAsia="zh-CN"/>
        </w:rPr>
        <w:t>法定代表人</w:t>
      </w:r>
      <w:r>
        <w:rPr>
          <w:rFonts w:hint="eastAsia" w:hAnsi="宋体"/>
          <w:lang w:eastAsia="zh-CN"/>
        </w:rPr>
        <w:t>：</w:t>
      </w:r>
    </w:p>
    <w:p w14:paraId="69367483">
      <w:pPr>
        <w:pStyle w:val="25"/>
        <w:spacing w:line="400" w:lineRule="exact"/>
        <w:rPr>
          <w:rFonts w:hAnsi="宋体"/>
          <w:lang w:eastAsia="zh-CN"/>
        </w:rPr>
      </w:pPr>
      <w:r>
        <w:rPr>
          <w:rFonts w:hint="eastAsia" w:hAnsi="宋体"/>
          <w:lang w:eastAsia="zh-CN"/>
        </w:rPr>
        <w:t>项目联系人:</w:t>
      </w:r>
    </w:p>
    <w:p w14:paraId="6920A9C4">
      <w:pPr>
        <w:pStyle w:val="25"/>
        <w:spacing w:line="400" w:lineRule="exact"/>
        <w:rPr>
          <w:rFonts w:hAnsi="宋体"/>
          <w:lang w:eastAsia="zh-CN"/>
        </w:rPr>
      </w:pPr>
      <w:r>
        <w:rPr>
          <w:rFonts w:hAnsi="宋体"/>
          <w:lang w:eastAsia="zh-CN"/>
        </w:rPr>
        <w:t>通讯地址</w:t>
      </w:r>
      <w:r>
        <w:rPr>
          <w:rFonts w:hint="eastAsia" w:hAnsi="宋体"/>
          <w:lang w:eastAsia="zh-CN"/>
        </w:rPr>
        <w:t>：</w:t>
      </w:r>
    </w:p>
    <w:p w14:paraId="251DBECA">
      <w:pPr>
        <w:pStyle w:val="25"/>
        <w:spacing w:line="400" w:lineRule="exact"/>
        <w:rPr>
          <w:rFonts w:hAnsi="宋体"/>
          <w:lang w:eastAsia="zh-CN"/>
        </w:rPr>
      </w:pPr>
      <w:r>
        <w:rPr>
          <w:rFonts w:hAnsi="宋体"/>
          <w:lang w:eastAsia="zh-CN"/>
        </w:rPr>
        <w:t>电    话</w:t>
      </w:r>
      <w:r>
        <w:rPr>
          <w:rFonts w:hint="eastAsia" w:hAnsi="宋体"/>
          <w:lang w:eastAsia="zh-CN"/>
        </w:rPr>
        <w:t>：</w:t>
      </w:r>
    </w:p>
    <w:p w14:paraId="012D0528">
      <w:pPr>
        <w:pStyle w:val="25"/>
        <w:spacing w:line="400" w:lineRule="exact"/>
        <w:rPr>
          <w:rFonts w:hAnsi="宋体"/>
          <w:lang w:eastAsia="zh-CN"/>
        </w:rPr>
      </w:pPr>
      <w:r>
        <w:rPr>
          <w:rFonts w:hAnsi="宋体"/>
          <w:lang w:eastAsia="zh-CN"/>
        </w:rPr>
        <w:t>传    真：</w:t>
      </w:r>
    </w:p>
    <w:p w14:paraId="372B84BB">
      <w:pPr>
        <w:pStyle w:val="25"/>
        <w:spacing w:line="400" w:lineRule="exact"/>
        <w:rPr>
          <w:rFonts w:hAnsi="宋体"/>
          <w:lang w:eastAsia="zh-CN"/>
        </w:rPr>
      </w:pPr>
      <w:r>
        <w:rPr>
          <w:rFonts w:hAnsi="宋体"/>
          <w:lang w:eastAsia="zh-CN"/>
        </w:rPr>
        <w:t>电子信箱</w:t>
      </w:r>
      <w:r>
        <w:rPr>
          <w:rFonts w:hint="eastAsia" w:hAnsi="宋体"/>
          <w:lang w:eastAsia="zh-CN"/>
        </w:rPr>
        <w:t>：</w:t>
      </w:r>
    </w:p>
    <w:p w14:paraId="1B8FD26D">
      <w:pPr>
        <w:pStyle w:val="25"/>
        <w:spacing w:line="400" w:lineRule="exact"/>
        <w:rPr>
          <w:rFonts w:hAnsi="宋体"/>
          <w:lang w:eastAsia="zh-CN"/>
        </w:rPr>
      </w:pPr>
      <w:r>
        <w:rPr>
          <w:rFonts w:hint="eastAsia" w:hAnsi="宋体"/>
          <w:lang w:eastAsia="zh-CN"/>
        </w:rPr>
        <w:t xml:space="preserve">    </w:t>
      </w:r>
    </w:p>
    <w:p w14:paraId="77887264">
      <w:pPr>
        <w:pStyle w:val="25"/>
        <w:spacing w:line="400" w:lineRule="exact"/>
        <w:rPr>
          <w:rFonts w:hAnsi="宋体"/>
          <w:lang w:eastAsia="zh-CN"/>
        </w:rPr>
      </w:pPr>
      <w:r>
        <w:rPr>
          <w:rFonts w:hint="eastAsia" w:hAnsi="宋体"/>
          <w:lang w:eastAsia="zh-CN"/>
        </w:rPr>
        <w:t xml:space="preserve">    本合同由甲方委托乙方就</w:t>
      </w:r>
      <w:r>
        <w:rPr>
          <w:rFonts w:hAnsi="宋体"/>
          <w:u w:val="single"/>
          <w:lang w:eastAsia="zh-CN"/>
        </w:rPr>
        <w:t>PTA现场人员用房外部爆炸冲击波影响评估</w:t>
      </w:r>
      <w:r>
        <w:rPr>
          <w:rFonts w:hint="eastAsia" w:hAnsi="宋体"/>
          <w:lang w:eastAsia="zh-CN"/>
        </w:rPr>
        <w:t>进行技术服务及咨询，并支付技术服务及咨询报酬。双方经过平等协商，在真实、充分地表达各自意愿的基础上，根据《中华人民共和国民法典》的规定，达成如下协议，并由双方共同恪守。</w:t>
      </w:r>
    </w:p>
    <w:p w14:paraId="48995B84">
      <w:pPr>
        <w:pStyle w:val="25"/>
        <w:spacing w:line="400" w:lineRule="exact"/>
        <w:rPr>
          <w:rFonts w:hAnsi="宋体"/>
          <w:lang w:eastAsia="zh-CN"/>
        </w:rPr>
      </w:pPr>
      <w:r>
        <w:rPr>
          <w:rFonts w:hint="eastAsia" w:hAnsi="宋体"/>
          <w:lang w:eastAsia="zh-CN"/>
        </w:rPr>
        <w:t xml:space="preserve">    第一条　乙方进行技术咨询的内容、要求、方式：</w:t>
      </w:r>
    </w:p>
    <w:p w14:paraId="3E58B417">
      <w:pPr>
        <w:pStyle w:val="25"/>
        <w:spacing w:line="400" w:lineRule="exact"/>
        <w:rPr>
          <w:rFonts w:hAnsi="宋体"/>
          <w:lang w:eastAsia="zh-CN"/>
        </w:rPr>
      </w:pPr>
      <w:r>
        <w:rPr>
          <w:rFonts w:hint="eastAsia" w:hAnsi="宋体"/>
          <w:lang w:eastAsia="zh-CN"/>
        </w:rPr>
        <w:t xml:space="preserve">    1.技术服务及咨询内容：</w:t>
      </w:r>
      <w:r>
        <w:rPr>
          <w:rFonts w:hint="eastAsia" w:hAnsi="宋体"/>
          <w:u w:val="single"/>
          <w:lang w:eastAsia="zh-CN"/>
        </w:rPr>
        <w:t xml:space="preserve">  见附件发包说明      </w:t>
      </w:r>
    </w:p>
    <w:p w14:paraId="6C01A7BA">
      <w:pPr>
        <w:pStyle w:val="25"/>
        <w:spacing w:line="400" w:lineRule="exact"/>
        <w:rPr>
          <w:rFonts w:hAnsi="宋体"/>
          <w:lang w:eastAsia="zh-CN"/>
        </w:rPr>
      </w:pPr>
      <w:r>
        <w:rPr>
          <w:rFonts w:hint="eastAsia" w:hAnsi="宋体"/>
          <w:lang w:eastAsia="zh-CN"/>
        </w:rPr>
        <w:t xml:space="preserve">    2.技术服务及咨询要求：</w:t>
      </w:r>
      <w:r>
        <w:rPr>
          <w:rFonts w:hint="eastAsia" w:hAnsi="宋体"/>
          <w:u w:val="single"/>
          <w:lang w:eastAsia="zh-CN"/>
        </w:rPr>
        <w:t xml:space="preserve">  见附件发包说明。 </w:t>
      </w:r>
    </w:p>
    <w:p w14:paraId="168C6E74">
      <w:pPr>
        <w:pStyle w:val="25"/>
        <w:spacing w:line="400" w:lineRule="exact"/>
        <w:rPr>
          <w:rFonts w:hAnsi="宋体"/>
          <w:lang w:eastAsia="zh-CN"/>
        </w:rPr>
      </w:pPr>
      <w:r>
        <w:rPr>
          <w:rFonts w:hint="eastAsia" w:hAnsi="宋体"/>
          <w:lang w:eastAsia="zh-CN"/>
        </w:rPr>
        <w:t xml:space="preserve">    第二条 乙方按照下列要求进行本合同项目的技术咨询工作：</w:t>
      </w:r>
    </w:p>
    <w:p w14:paraId="24761090">
      <w:pPr>
        <w:pStyle w:val="25"/>
        <w:spacing w:line="400" w:lineRule="exact"/>
        <w:rPr>
          <w:rFonts w:hAnsi="宋体"/>
          <w:lang w:eastAsia="zh-CN"/>
        </w:rPr>
      </w:pPr>
      <w:r>
        <w:rPr>
          <w:rFonts w:hint="eastAsia" w:hAnsi="宋体"/>
          <w:lang w:eastAsia="zh-CN"/>
        </w:rPr>
        <w:t xml:space="preserve">    1.技术服务及咨询地点：</w:t>
      </w:r>
      <w:r>
        <w:rPr>
          <w:rFonts w:hint="eastAsia" w:hAnsi="宋体"/>
          <w:u w:val="single"/>
          <w:lang w:eastAsia="zh-CN"/>
        </w:rPr>
        <w:t xml:space="preserve">   甲方所在地            </w:t>
      </w:r>
    </w:p>
    <w:p w14:paraId="60663588">
      <w:pPr>
        <w:pStyle w:val="25"/>
        <w:spacing w:line="400" w:lineRule="exact"/>
        <w:rPr>
          <w:rFonts w:hAnsi="宋体"/>
          <w:lang w:eastAsia="zh-CN"/>
        </w:rPr>
      </w:pPr>
      <w:r>
        <w:rPr>
          <w:rFonts w:hint="eastAsia" w:hAnsi="宋体"/>
          <w:lang w:eastAsia="zh-CN"/>
        </w:rPr>
        <w:t xml:space="preserve">    2.技术服务及咨询期限：</w:t>
      </w:r>
      <w:r>
        <w:rPr>
          <w:rFonts w:hint="eastAsia" w:hAnsi="宋体"/>
          <w:u w:val="single"/>
          <w:lang w:eastAsia="zh-CN"/>
        </w:rPr>
        <w:t xml:space="preserve">    合同签订之日起至合同执行完毕止            </w:t>
      </w:r>
    </w:p>
    <w:p w14:paraId="4C209EB6">
      <w:pPr>
        <w:pStyle w:val="25"/>
        <w:spacing w:line="400" w:lineRule="exact"/>
        <w:rPr>
          <w:rFonts w:hAnsi="宋体"/>
          <w:u w:val="single"/>
          <w:lang w:eastAsia="zh-CN"/>
        </w:rPr>
      </w:pPr>
      <w:r>
        <w:rPr>
          <w:rFonts w:hint="eastAsia" w:hAnsi="宋体"/>
          <w:lang w:eastAsia="zh-CN"/>
        </w:rPr>
        <w:t xml:space="preserve">    3.技术服务及咨询进度：</w:t>
      </w:r>
      <w:r>
        <w:rPr>
          <w:rFonts w:hint="eastAsia" w:hAnsi="宋体"/>
          <w:u w:val="single"/>
          <w:lang w:eastAsia="zh-CN"/>
        </w:rPr>
        <w:t xml:space="preserve">   自合同签订之日起</w:t>
      </w:r>
      <w:r>
        <w:rPr>
          <w:rFonts w:hAnsi="宋体"/>
          <w:u w:val="single"/>
          <w:lang w:eastAsia="zh-CN"/>
        </w:rPr>
        <w:t>1</w:t>
      </w:r>
      <w:r>
        <w:rPr>
          <w:rFonts w:hint="eastAsia" w:hAnsi="宋体"/>
          <w:u w:val="single"/>
          <w:lang w:eastAsia="zh-CN"/>
        </w:rPr>
        <w:t>0日内完成建筑物抗爆评估，出具建筑物的抗爆设计要求评估数据，2</w:t>
      </w:r>
      <w:r>
        <w:rPr>
          <w:rFonts w:hAnsi="宋体"/>
          <w:u w:val="single"/>
          <w:lang w:eastAsia="zh-CN"/>
        </w:rPr>
        <w:t>0日内出具纸质版评估报告</w:t>
      </w:r>
      <w:r>
        <w:rPr>
          <w:rFonts w:hint="eastAsia" w:hAnsi="宋体"/>
          <w:u w:val="single"/>
          <w:lang w:eastAsia="zh-CN"/>
        </w:rPr>
        <w:t>。</w:t>
      </w:r>
    </w:p>
    <w:p w14:paraId="1A759312">
      <w:pPr>
        <w:pStyle w:val="25"/>
        <w:spacing w:line="400" w:lineRule="exact"/>
        <w:rPr>
          <w:rFonts w:hAnsi="宋体"/>
          <w:lang w:eastAsia="zh-CN"/>
        </w:rPr>
      </w:pPr>
      <w:r>
        <w:rPr>
          <w:rFonts w:hint="eastAsia" w:hAnsi="宋体"/>
          <w:lang w:eastAsia="zh-CN"/>
        </w:rPr>
        <w:t xml:space="preserve">    4、技术服务及咨询质量要求：</w:t>
      </w:r>
      <w:r>
        <w:rPr>
          <w:rFonts w:hint="eastAsia" w:hAnsi="宋体"/>
          <w:u w:val="single"/>
          <w:lang w:eastAsia="zh-CN"/>
        </w:rPr>
        <w:t xml:space="preserve">   按国家相关规程、规范和技术规定要求        </w:t>
      </w:r>
    </w:p>
    <w:p w14:paraId="2B97E30C">
      <w:pPr>
        <w:pStyle w:val="25"/>
        <w:spacing w:line="400" w:lineRule="exact"/>
        <w:ind w:firstLine="440" w:firstLineChars="200"/>
        <w:rPr>
          <w:rFonts w:hAnsi="宋体"/>
          <w:lang w:eastAsia="zh-CN"/>
        </w:rPr>
      </w:pPr>
      <w:r>
        <w:rPr>
          <w:rFonts w:hint="eastAsia" w:hAnsi="宋体"/>
          <w:lang w:eastAsia="zh-CN"/>
        </w:rPr>
        <w:t>5、技术服务及咨询质量期限要求：</w:t>
      </w:r>
      <w:r>
        <w:rPr>
          <w:rFonts w:hint="eastAsia" w:hAnsi="宋体"/>
          <w:u w:val="single"/>
          <w:lang w:eastAsia="zh-CN"/>
        </w:rPr>
        <w:t xml:space="preserve">   合同签订之日起至合同执行完毕止     </w:t>
      </w:r>
    </w:p>
    <w:p w14:paraId="7CEDFE1A">
      <w:pPr>
        <w:pStyle w:val="25"/>
        <w:spacing w:line="400" w:lineRule="exact"/>
        <w:ind w:firstLine="440" w:firstLineChars="200"/>
        <w:rPr>
          <w:rFonts w:hAnsi="宋体"/>
          <w:lang w:eastAsia="zh-CN"/>
        </w:rPr>
      </w:pPr>
      <w:r>
        <w:rPr>
          <w:rFonts w:hint="eastAsia" w:hAnsi="宋体"/>
          <w:lang w:eastAsia="zh-CN"/>
        </w:rPr>
        <w:t>第三条 为保证乙方有效进行技术咨询工作，甲方应当向乙方提供下列协作事项：</w:t>
      </w:r>
    </w:p>
    <w:p w14:paraId="513A14DE">
      <w:pPr>
        <w:pStyle w:val="25"/>
        <w:spacing w:line="400" w:lineRule="exact"/>
        <w:ind w:firstLine="440" w:firstLineChars="200"/>
        <w:rPr>
          <w:rFonts w:hAnsi="宋体"/>
          <w:lang w:eastAsia="zh-CN"/>
        </w:rPr>
      </w:pPr>
      <w:r>
        <w:rPr>
          <w:rFonts w:hint="eastAsia" w:hAnsi="宋体"/>
          <w:lang w:eastAsia="zh-CN"/>
        </w:rPr>
        <w:t>提供技术资料：</w:t>
      </w:r>
      <w:r>
        <w:rPr>
          <w:rFonts w:hint="eastAsia" w:hAnsi="宋体"/>
          <w:u w:val="single"/>
          <w:lang w:eastAsia="zh-CN"/>
        </w:rPr>
        <w:t xml:space="preserve">   编制评估报告相关资料             </w:t>
      </w:r>
      <w:r>
        <w:rPr>
          <w:rFonts w:hint="eastAsia" w:hAnsi="宋体"/>
          <w:lang w:eastAsia="zh-CN"/>
        </w:rPr>
        <w:t xml:space="preserve"> </w:t>
      </w:r>
    </w:p>
    <w:p w14:paraId="3C3F785E">
      <w:pPr>
        <w:pStyle w:val="25"/>
        <w:spacing w:line="400" w:lineRule="exact"/>
        <w:ind w:firstLine="440" w:firstLineChars="200"/>
        <w:rPr>
          <w:rFonts w:hAnsi="宋体"/>
          <w:lang w:eastAsia="zh-CN"/>
        </w:rPr>
      </w:pPr>
      <w:r>
        <w:rPr>
          <w:rFonts w:hint="eastAsia" w:hAnsi="宋体"/>
          <w:lang w:eastAsia="zh-CN"/>
        </w:rPr>
        <w:t>第四条 甲方向乙方支付技术服务及咨询报酬及支付方式为：</w:t>
      </w:r>
    </w:p>
    <w:p w14:paraId="69F98151">
      <w:pPr>
        <w:pStyle w:val="25"/>
        <w:spacing w:line="400" w:lineRule="exact"/>
        <w:ind w:firstLine="440" w:firstLineChars="200"/>
        <w:rPr>
          <w:rFonts w:hAnsi="宋体"/>
          <w:lang w:eastAsia="zh-CN"/>
        </w:rPr>
      </w:pPr>
      <w:r>
        <w:rPr>
          <w:rFonts w:hint="eastAsia" w:hAnsi="宋体"/>
          <w:lang w:eastAsia="zh-CN"/>
        </w:rPr>
        <w:t>1. 技术服务及咨询报酬总价款为：</w:t>
      </w:r>
      <w:r>
        <w:rPr>
          <w:rFonts w:hAnsi="宋体"/>
          <w:lang w:eastAsia="zh-CN"/>
        </w:rPr>
        <w:t>人民币</w:t>
      </w:r>
      <w:r>
        <w:rPr>
          <w:rFonts w:hint="eastAsia" w:hAnsi="宋体"/>
          <w:u w:val="single"/>
          <w:lang w:eastAsia="zh-CN"/>
        </w:rPr>
        <w:t xml:space="preserve">           </w:t>
      </w:r>
      <w:r>
        <w:rPr>
          <w:rFonts w:hint="eastAsia" w:hAnsi="宋体"/>
          <w:lang w:eastAsia="zh-CN"/>
        </w:rPr>
        <w:t>元（含6%增值税）</w:t>
      </w:r>
    </w:p>
    <w:p w14:paraId="23E2F218">
      <w:pPr>
        <w:pStyle w:val="25"/>
        <w:spacing w:line="400" w:lineRule="exact"/>
        <w:rPr>
          <w:rFonts w:hAnsi="宋体"/>
          <w:lang w:eastAsia="zh-CN"/>
        </w:rPr>
      </w:pPr>
      <w:r>
        <w:rPr>
          <w:rFonts w:hAnsi="宋体"/>
          <w:lang w:eastAsia="zh-CN"/>
        </w:rPr>
        <w:t xml:space="preserve"> </w:t>
      </w:r>
      <w:r>
        <w:rPr>
          <w:rFonts w:hint="eastAsia" w:hAnsi="宋体"/>
          <w:lang w:eastAsia="zh-CN"/>
        </w:rPr>
        <w:t xml:space="preserve">    具体支付方式和时间分配如下：</w:t>
      </w:r>
    </w:p>
    <w:p w14:paraId="546E4B40">
      <w:pPr>
        <w:pStyle w:val="25"/>
        <w:spacing w:line="400" w:lineRule="exact"/>
        <w:rPr>
          <w:rFonts w:hAnsi="宋体"/>
          <w:lang w:eastAsia="zh-CN"/>
        </w:rPr>
      </w:pPr>
      <w:r>
        <w:rPr>
          <w:rFonts w:hAnsi="宋体"/>
          <w:lang w:eastAsia="zh-CN"/>
        </w:rPr>
        <w:t xml:space="preserve">   </w:t>
      </w:r>
      <w:r>
        <w:rPr>
          <w:rFonts w:hint="eastAsia" w:hAnsi="宋体"/>
          <w:lang w:eastAsia="zh-CN"/>
        </w:rPr>
        <w:t>（</w:t>
      </w:r>
      <w:r>
        <w:rPr>
          <w:rFonts w:hAnsi="宋体"/>
          <w:lang w:eastAsia="zh-CN"/>
        </w:rPr>
        <w:t>1</w:t>
      </w:r>
      <w:r>
        <w:rPr>
          <w:rFonts w:hint="eastAsia" w:hAnsi="宋体"/>
          <w:lang w:eastAsia="zh-CN"/>
        </w:rPr>
        <w:t>）乙方按照合同约定提供</w:t>
      </w:r>
      <w:r>
        <w:rPr>
          <w:rFonts w:hAnsi="宋体"/>
          <w:lang w:eastAsia="zh-CN"/>
        </w:rPr>
        <w:t>完整</w:t>
      </w:r>
      <w:r>
        <w:rPr>
          <w:rFonts w:hint="eastAsia" w:hAnsi="宋体"/>
          <w:lang w:eastAsia="zh-CN"/>
        </w:rPr>
        <w:t>的服务，并出具经甲方认可的正式</w:t>
      </w:r>
      <w:r>
        <w:rPr>
          <w:rFonts w:hint="eastAsia" w:hAnsi="宋体"/>
          <w:u w:val="single"/>
          <w:lang w:eastAsia="zh-CN"/>
        </w:rPr>
        <w:t xml:space="preserve"> 评估 </w:t>
      </w:r>
      <w:r>
        <w:rPr>
          <w:rFonts w:hAnsi="宋体"/>
          <w:lang w:eastAsia="zh-CN"/>
        </w:rPr>
        <w:t>报告</w:t>
      </w:r>
      <w:r>
        <w:rPr>
          <w:rFonts w:hint="eastAsia" w:hAnsi="宋体"/>
          <w:lang w:eastAsia="zh-CN"/>
        </w:rPr>
        <w:t>后</w:t>
      </w:r>
      <w:r>
        <w:rPr>
          <w:rFonts w:hint="eastAsia" w:hAnsi="宋体"/>
          <w:u w:val="single"/>
          <w:lang w:eastAsia="zh-CN"/>
        </w:rPr>
        <w:t xml:space="preserve"> </w:t>
      </w:r>
      <w:r>
        <w:rPr>
          <w:rFonts w:hAnsi="宋体"/>
          <w:u w:val="single"/>
          <w:lang w:eastAsia="zh-CN"/>
        </w:rPr>
        <w:t>20</w:t>
      </w:r>
      <w:r>
        <w:rPr>
          <w:rFonts w:hint="eastAsia" w:hAnsi="宋体"/>
          <w:lang w:eastAsia="zh-CN"/>
        </w:rPr>
        <w:t>个工作日内，甲方支付总价款的</w:t>
      </w:r>
      <w:r>
        <w:rPr>
          <w:rFonts w:hint="eastAsia" w:hAnsi="宋体"/>
          <w:u w:val="single"/>
          <w:lang w:eastAsia="zh-CN"/>
        </w:rPr>
        <w:t xml:space="preserve"> </w:t>
      </w:r>
      <w:r>
        <w:rPr>
          <w:rFonts w:hAnsi="宋体"/>
          <w:u w:val="single"/>
          <w:lang w:eastAsia="zh-CN"/>
        </w:rPr>
        <w:t>100</w:t>
      </w:r>
      <w:r>
        <w:rPr>
          <w:rFonts w:hint="eastAsia" w:hAnsi="宋体"/>
          <w:u w:val="single"/>
          <w:lang w:eastAsia="zh-CN"/>
        </w:rPr>
        <w:t xml:space="preserve"> </w:t>
      </w:r>
      <w:r>
        <w:rPr>
          <w:rFonts w:hint="eastAsia" w:hAnsi="宋体"/>
          <w:lang w:eastAsia="zh-CN"/>
        </w:rPr>
        <w:t xml:space="preserve"> %，即人民币</w:t>
      </w:r>
      <w:r>
        <w:rPr>
          <w:rFonts w:hint="eastAsia" w:hAnsi="宋体"/>
          <w:u w:val="single"/>
          <w:lang w:eastAsia="zh-CN"/>
        </w:rPr>
        <w:t xml:space="preserve">    </w:t>
      </w:r>
      <w:r>
        <w:rPr>
          <w:rFonts w:hint="eastAsia" w:hAnsi="宋体"/>
          <w:lang w:eastAsia="zh-CN"/>
        </w:rPr>
        <w:t>整（￥</w:t>
      </w:r>
      <w:r>
        <w:rPr>
          <w:rFonts w:hint="eastAsia" w:hAnsi="宋体"/>
          <w:u w:val="single"/>
          <w:lang w:eastAsia="zh-CN"/>
        </w:rPr>
        <w:t xml:space="preserve">    </w:t>
      </w:r>
      <w:r>
        <w:rPr>
          <w:rFonts w:hint="eastAsia" w:hAnsi="宋体"/>
          <w:lang w:eastAsia="zh-CN"/>
        </w:rPr>
        <w:t>元）。</w:t>
      </w:r>
    </w:p>
    <w:p w14:paraId="72F83F68">
      <w:pPr>
        <w:pStyle w:val="25"/>
        <w:spacing w:line="400" w:lineRule="exact"/>
        <w:ind w:firstLine="330" w:firstLineChars="150"/>
        <w:rPr>
          <w:rFonts w:hAnsi="宋体"/>
          <w:lang w:eastAsia="zh-CN"/>
        </w:rPr>
      </w:pPr>
      <w:r>
        <w:rPr>
          <w:rFonts w:hint="eastAsia" w:hAnsi="宋体"/>
          <w:lang w:eastAsia="zh-CN"/>
        </w:rPr>
        <w:t>（</w:t>
      </w:r>
      <w:r>
        <w:rPr>
          <w:rFonts w:hAnsi="宋体"/>
          <w:lang w:eastAsia="zh-CN"/>
        </w:rPr>
        <w:t>2</w:t>
      </w:r>
      <w:r>
        <w:rPr>
          <w:rFonts w:hint="eastAsia" w:hAnsi="宋体"/>
          <w:lang w:eastAsia="zh-CN"/>
        </w:rPr>
        <w:t>）乙方应在甲方付款期限届满</w:t>
      </w:r>
      <w:r>
        <w:rPr>
          <w:rFonts w:hint="eastAsia" w:hAnsi="宋体"/>
          <w:u w:val="single"/>
          <w:lang w:eastAsia="zh-CN"/>
        </w:rPr>
        <w:t xml:space="preserve">   </w:t>
      </w:r>
      <w:r>
        <w:rPr>
          <w:rFonts w:hAnsi="宋体"/>
          <w:u w:val="single"/>
          <w:lang w:eastAsia="zh-CN"/>
        </w:rPr>
        <w:t>20个工作</w:t>
      </w:r>
      <w:r>
        <w:rPr>
          <w:rFonts w:hint="eastAsia" w:hAnsi="宋体"/>
          <w:u w:val="single"/>
          <w:lang w:eastAsia="zh-CN"/>
        </w:rPr>
        <w:t xml:space="preserve"> </w:t>
      </w:r>
      <w:r>
        <w:rPr>
          <w:rFonts w:hAnsi="宋体"/>
          <w:u w:val="single"/>
          <w:lang w:eastAsia="zh-CN"/>
        </w:rPr>
        <w:t xml:space="preserve"> </w:t>
      </w:r>
      <w:r>
        <w:rPr>
          <w:rFonts w:hint="eastAsia" w:hAnsi="宋体"/>
          <w:lang w:eastAsia="zh-CN"/>
        </w:rPr>
        <w:t>日前提供正式增值税专用发票，否则甲方有权顺延付款。上述技术服务及咨询报酬直接支付至乙方指定的下列账号：</w:t>
      </w:r>
    </w:p>
    <w:p w14:paraId="38A5638E">
      <w:pPr>
        <w:pStyle w:val="25"/>
        <w:spacing w:line="400" w:lineRule="exact"/>
        <w:ind w:firstLine="440" w:firstLineChars="200"/>
        <w:rPr>
          <w:rFonts w:hAnsi="宋体"/>
          <w:lang w:eastAsia="zh-CN"/>
        </w:rPr>
      </w:pPr>
      <w:r>
        <w:rPr>
          <w:rFonts w:hint="eastAsia" w:hAnsi="宋体"/>
          <w:lang w:eastAsia="zh-CN"/>
        </w:rPr>
        <w:t>乙方开户银行：</w:t>
      </w:r>
      <w:r>
        <w:rPr>
          <w:rFonts w:hint="eastAsia" w:hAnsi="宋体"/>
          <w:u w:val="single"/>
          <w:lang w:eastAsia="zh-CN"/>
        </w:rPr>
        <w:t xml:space="preserve">    </w:t>
      </w:r>
      <w:r>
        <w:rPr>
          <w:rFonts w:hAnsi="宋体"/>
          <w:u w:val="single"/>
          <w:lang w:eastAsia="zh-CN"/>
        </w:rPr>
        <w:t xml:space="preserve">                  </w:t>
      </w:r>
    </w:p>
    <w:p w14:paraId="3BE91248">
      <w:pPr>
        <w:pStyle w:val="25"/>
        <w:spacing w:line="400" w:lineRule="exact"/>
        <w:ind w:firstLine="440" w:firstLineChars="200"/>
        <w:rPr>
          <w:rFonts w:hAnsi="宋体"/>
          <w:lang w:eastAsia="zh-CN"/>
        </w:rPr>
      </w:pPr>
      <w:r>
        <w:rPr>
          <w:rFonts w:hint="eastAsia" w:hAnsi="宋体"/>
          <w:lang w:eastAsia="zh-CN"/>
        </w:rPr>
        <w:t>公司名称：</w:t>
      </w:r>
      <w:r>
        <w:rPr>
          <w:rFonts w:hint="eastAsia" w:hAnsi="宋体"/>
          <w:u w:val="single"/>
          <w:lang w:eastAsia="zh-CN"/>
        </w:rPr>
        <w:t xml:space="preserve">    </w:t>
      </w:r>
      <w:r>
        <w:rPr>
          <w:rFonts w:hAnsi="宋体"/>
          <w:u w:val="single"/>
          <w:lang w:eastAsia="zh-CN"/>
        </w:rPr>
        <w:t xml:space="preserve">                  </w:t>
      </w:r>
    </w:p>
    <w:p w14:paraId="776F29DF">
      <w:pPr>
        <w:pStyle w:val="25"/>
        <w:spacing w:line="400" w:lineRule="exact"/>
        <w:ind w:firstLine="440" w:firstLineChars="200"/>
        <w:rPr>
          <w:rFonts w:hAnsi="宋体"/>
          <w:lang w:eastAsia="zh-CN"/>
        </w:rPr>
      </w:pPr>
      <w:r>
        <w:rPr>
          <w:rFonts w:hint="eastAsia" w:hAnsi="宋体"/>
          <w:lang w:eastAsia="zh-CN"/>
        </w:rPr>
        <w:t>账号：</w:t>
      </w:r>
      <w:r>
        <w:rPr>
          <w:rFonts w:hint="eastAsia" w:hAnsi="宋体"/>
          <w:u w:val="single"/>
          <w:lang w:eastAsia="zh-CN"/>
        </w:rPr>
        <w:t xml:space="preserve">    </w:t>
      </w:r>
      <w:r>
        <w:rPr>
          <w:rFonts w:hAnsi="宋体"/>
          <w:u w:val="single"/>
          <w:lang w:eastAsia="zh-CN"/>
        </w:rPr>
        <w:t xml:space="preserve">                  </w:t>
      </w:r>
    </w:p>
    <w:p w14:paraId="7EA6486B">
      <w:pPr>
        <w:pStyle w:val="25"/>
        <w:spacing w:line="400" w:lineRule="exact"/>
        <w:ind w:firstLine="440" w:firstLineChars="200"/>
        <w:rPr>
          <w:rFonts w:hAnsi="宋体"/>
          <w:lang w:eastAsia="zh-CN"/>
        </w:rPr>
      </w:pPr>
      <w:r>
        <w:rPr>
          <w:rFonts w:hint="eastAsia" w:hAnsi="宋体"/>
          <w:lang w:eastAsia="zh-CN"/>
        </w:rPr>
        <w:t>第五条 双方确定因履行本合同应遵守的保密义务如下：</w:t>
      </w:r>
    </w:p>
    <w:p w14:paraId="4C352D2D">
      <w:pPr>
        <w:pStyle w:val="25"/>
        <w:spacing w:line="400" w:lineRule="exact"/>
        <w:ind w:firstLine="440" w:firstLineChars="200"/>
        <w:rPr>
          <w:rFonts w:hAnsi="宋体"/>
          <w:lang w:eastAsia="zh-CN"/>
        </w:rPr>
      </w:pPr>
      <w:r>
        <w:rPr>
          <w:rFonts w:hint="eastAsia" w:hAnsi="宋体"/>
          <w:lang w:eastAsia="zh-CN"/>
        </w:rPr>
        <w:t>甲方：</w:t>
      </w:r>
    </w:p>
    <w:p w14:paraId="2F12FE60">
      <w:pPr>
        <w:pStyle w:val="25"/>
        <w:spacing w:line="400" w:lineRule="exact"/>
        <w:ind w:firstLine="440" w:firstLineChars="200"/>
        <w:rPr>
          <w:rFonts w:hAnsi="宋体"/>
          <w:lang w:eastAsia="zh-CN"/>
        </w:rPr>
      </w:pPr>
      <w:r>
        <w:rPr>
          <w:rFonts w:hint="eastAsia" w:hAnsi="宋体"/>
          <w:lang w:eastAsia="zh-CN"/>
        </w:rPr>
        <w:t>1.保密内容：乙方提供的资料，服务咨询报告及该服务咨询报告的附件资料除外。</w:t>
      </w:r>
    </w:p>
    <w:p w14:paraId="06B5795A">
      <w:pPr>
        <w:pStyle w:val="25"/>
        <w:spacing w:line="400" w:lineRule="exact"/>
        <w:ind w:firstLine="440" w:firstLineChars="200"/>
        <w:rPr>
          <w:rFonts w:hAnsi="宋体"/>
          <w:lang w:eastAsia="zh-CN"/>
        </w:rPr>
      </w:pPr>
      <w:r>
        <w:rPr>
          <w:rFonts w:hint="eastAsia" w:hAnsi="宋体"/>
          <w:lang w:eastAsia="zh-CN"/>
        </w:rPr>
        <w:t xml:space="preserve">2.涉密人员范围：甲方及甲方工作人员 </w:t>
      </w:r>
    </w:p>
    <w:p w14:paraId="7AFD2851">
      <w:pPr>
        <w:pStyle w:val="25"/>
        <w:spacing w:line="400" w:lineRule="exact"/>
        <w:ind w:firstLine="440" w:firstLineChars="200"/>
        <w:rPr>
          <w:rFonts w:hAnsi="宋体"/>
          <w:lang w:eastAsia="zh-CN"/>
        </w:rPr>
      </w:pPr>
      <w:r>
        <w:rPr>
          <w:rFonts w:hint="eastAsia" w:hAnsi="宋体"/>
          <w:lang w:eastAsia="zh-CN"/>
        </w:rPr>
        <w:t xml:space="preserve">3.泄密责任：  按本合同约定及国家有关保密法的规定执行 </w:t>
      </w:r>
    </w:p>
    <w:p w14:paraId="5D009539">
      <w:pPr>
        <w:pStyle w:val="25"/>
        <w:spacing w:line="400" w:lineRule="exact"/>
        <w:ind w:firstLine="440" w:firstLineChars="200"/>
        <w:rPr>
          <w:rFonts w:hAnsi="宋体"/>
          <w:lang w:eastAsia="zh-CN"/>
        </w:rPr>
      </w:pPr>
      <w:r>
        <w:rPr>
          <w:rFonts w:hint="eastAsia" w:hAnsi="宋体"/>
          <w:lang w:eastAsia="zh-CN"/>
        </w:rPr>
        <w:t>乙方：</w:t>
      </w:r>
    </w:p>
    <w:p w14:paraId="7A6997D3">
      <w:pPr>
        <w:pStyle w:val="25"/>
        <w:spacing w:line="400" w:lineRule="exact"/>
        <w:ind w:firstLine="440" w:firstLineChars="200"/>
        <w:rPr>
          <w:rFonts w:hAnsi="宋体"/>
          <w:lang w:eastAsia="zh-CN"/>
        </w:rPr>
      </w:pPr>
      <w:r>
        <w:rPr>
          <w:rFonts w:hint="eastAsia" w:hAnsi="宋体"/>
          <w:lang w:eastAsia="zh-CN"/>
        </w:rPr>
        <w:t xml:space="preserve">1.保密内容：甲方提供的资料以及乙方在提供本合同约定服务过程中知悉的甲方技术信息、经营信息、生产工艺、操作流程等。 </w:t>
      </w:r>
    </w:p>
    <w:p w14:paraId="3FF27DFA">
      <w:pPr>
        <w:pStyle w:val="25"/>
        <w:spacing w:line="400" w:lineRule="exact"/>
        <w:ind w:firstLine="440" w:firstLineChars="200"/>
        <w:rPr>
          <w:rFonts w:hAnsi="宋体"/>
          <w:lang w:eastAsia="zh-CN"/>
        </w:rPr>
      </w:pPr>
      <w:r>
        <w:rPr>
          <w:rFonts w:hint="eastAsia" w:hAnsi="宋体"/>
          <w:lang w:eastAsia="zh-CN"/>
        </w:rPr>
        <w:t xml:space="preserve">2.涉密人员范围：乙方及乙方工作人员 </w:t>
      </w:r>
    </w:p>
    <w:p w14:paraId="54D7B144">
      <w:pPr>
        <w:pStyle w:val="25"/>
        <w:spacing w:line="400" w:lineRule="exact"/>
        <w:ind w:firstLine="440" w:firstLineChars="200"/>
        <w:rPr>
          <w:rFonts w:hAnsi="宋体"/>
          <w:lang w:eastAsia="zh-CN"/>
        </w:rPr>
      </w:pPr>
      <w:r>
        <w:rPr>
          <w:rFonts w:hint="eastAsia" w:hAnsi="宋体"/>
          <w:lang w:eastAsia="zh-CN"/>
        </w:rPr>
        <w:t xml:space="preserve">3.泄密责任：按本合同约定及国家有关保密法的规定执行 </w:t>
      </w:r>
    </w:p>
    <w:p w14:paraId="71B8688C">
      <w:pPr>
        <w:pStyle w:val="25"/>
        <w:spacing w:line="400" w:lineRule="exact"/>
        <w:ind w:firstLine="440" w:firstLineChars="200"/>
        <w:rPr>
          <w:rFonts w:hAnsi="宋体"/>
          <w:lang w:eastAsia="zh-CN"/>
        </w:rPr>
      </w:pPr>
      <w:r>
        <w:rPr>
          <w:rFonts w:hint="eastAsia" w:hAnsi="宋体"/>
          <w:lang w:eastAsia="zh-CN"/>
        </w:rPr>
        <w:t>第六条 本合同的变更必须由双方协商一致，并以书面形式确定。</w:t>
      </w:r>
    </w:p>
    <w:p w14:paraId="4A8FC3D0">
      <w:pPr>
        <w:pStyle w:val="25"/>
        <w:spacing w:line="400" w:lineRule="exact"/>
        <w:ind w:firstLine="440" w:firstLineChars="200"/>
        <w:rPr>
          <w:rFonts w:hAnsi="宋体"/>
          <w:lang w:eastAsia="zh-CN"/>
        </w:rPr>
      </w:pPr>
      <w:r>
        <w:rPr>
          <w:rFonts w:hint="eastAsia" w:hAnsi="宋体"/>
          <w:lang w:eastAsia="zh-CN"/>
        </w:rPr>
        <w:t>第七条 双方确定，按以下标准和方式对乙方提交的技术咨询工作成果进行验收：</w:t>
      </w:r>
    </w:p>
    <w:p w14:paraId="0857CD45">
      <w:pPr>
        <w:pStyle w:val="25"/>
        <w:spacing w:line="400" w:lineRule="exact"/>
        <w:ind w:firstLine="440" w:firstLineChars="200"/>
        <w:rPr>
          <w:rFonts w:hAnsi="宋体"/>
          <w:lang w:eastAsia="zh-CN"/>
        </w:rPr>
      </w:pPr>
      <w:r>
        <w:rPr>
          <w:rFonts w:hint="eastAsia" w:hAnsi="宋体"/>
          <w:lang w:eastAsia="zh-CN"/>
        </w:rPr>
        <w:t>1、乙方提交技术工作成果的形式：</w:t>
      </w:r>
      <w:r>
        <w:rPr>
          <w:rFonts w:hint="eastAsia" w:hAnsi="宋体"/>
          <w:u w:val="single"/>
          <w:lang w:eastAsia="zh-CN"/>
        </w:rPr>
        <w:t>签字盖章纸质报告</w:t>
      </w:r>
      <w:r>
        <w:rPr>
          <w:rFonts w:hAnsi="宋体"/>
          <w:u w:val="single"/>
          <w:lang w:eastAsia="zh-CN"/>
        </w:rPr>
        <w:t>5</w:t>
      </w:r>
      <w:r>
        <w:rPr>
          <w:rFonts w:hint="eastAsia" w:hAnsi="宋体"/>
          <w:u w:val="single"/>
          <w:lang w:eastAsia="zh-CN"/>
        </w:rPr>
        <w:t>份，包括WORD版（内容不设置复制等权限）、PDF版电子文档（含图件、附件)。</w:t>
      </w:r>
    </w:p>
    <w:p w14:paraId="2B6A8737">
      <w:pPr>
        <w:pStyle w:val="25"/>
        <w:spacing w:line="400" w:lineRule="exact"/>
        <w:ind w:firstLine="440" w:firstLineChars="200"/>
        <w:rPr>
          <w:rFonts w:hAnsi="宋体"/>
          <w:lang w:eastAsia="zh-CN"/>
        </w:rPr>
      </w:pPr>
      <w:r>
        <w:rPr>
          <w:rFonts w:hint="eastAsia" w:hAnsi="宋体"/>
          <w:lang w:eastAsia="zh-CN"/>
        </w:rPr>
        <w:t>2、技术工作成果的验收标准：</w:t>
      </w:r>
      <w:r>
        <w:rPr>
          <w:rFonts w:hint="eastAsia" w:hAnsi="宋体"/>
          <w:u w:val="single"/>
          <w:lang w:eastAsia="zh-CN"/>
        </w:rPr>
        <w:t xml:space="preserve">  分析结果得到甲方及设计院认可，并出具评估报告</w:t>
      </w:r>
      <w:r>
        <w:rPr>
          <w:rFonts w:hAnsi="宋体"/>
          <w:u w:val="single"/>
          <w:lang w:eastAsia="zh-CN"/>
        </w:rPr>
        <w:t>。</w:t>
      </w:r>
      <w:r>
        <w:rPr>
          <w:rFonts w:hint="eastAsia" w:hAnsi="宋体"/>
          <w:u w:val="single"/>
          <w:lang w:eastAsia="zh-CN"/>
        </w:rPr>
        <w:t xml:space="preserve"> </w:t>
      </w:r>
      <w:r>
        <w:rPr>
          <w:rFonts w:hAnsi="宋体"/>
          <w:u w:val="single"/>
          <w:lang w:eastAsia="zh-CN"/>
        </w:rPr>
        <w:t xml:space="preserve"> </w:t>
      </w:r>
    </w:p>
    <w:p w14:paraId="30D216D5">
      <w:pPr>
        <w:pStyle w:val="25"/>
        <w:spacing w:line="400" w:lineRule="exact"/>
        <w:ind w:firstLine="440" w:firstLineChars="200"/>
        <w:rPr>
          <w:rFonts w:hAnsi="宋体"/>
          <w:lang w:eastAsia="zh-CN"/>
        </w:rPr>
      </w:pPr>
      <w:r>
        <w:rPr>
          <w:rFonts w:hint="eastAsia" w:hAnsi="宋体"/>
          <w:lang w:eastAsia="zh-CN"/>
        </w:rPr>
        <w:t>3、验收地点：</w:t>
      </w:r>
      <w:r>
        <w:rPr>
          <w:rFonts w:hint="eastAsia" w:hAnsi="宋体"/>
          <w:u w:val="single"/>
          <w:lang w:eastAsia="zh-CN"/>
        </w:rPr>
        <w:t xml:space="preserve"> 甲方</w:t>
      </w:r>
      <w:r>
        <w:rPr>
          <w:rFonts w:hAnsi="宋体"/>
          <w:u w:val="single"/>
          <w:lang w:eastAsia="zh-CN"/>
        </w:rPr>
        <w:t xml:space="preserve">所在地 </w:t>
      </w:r>
    </w:p>
    <w:p w14:paraId="06C2B8A8">
      <w:pPr>
        <w:spacing w:line="520" w:lineRule="exact"/>
        <w:ind w:firstLine="440" w:firstLineChars="200"/>
        <w:rPr>
          <w:sz w:val="24"/>
          <w:lang w:eastAsia="zh-CN"/>
        </w:rPr>
      </w:pPr>
      <w:r>
        <w:rPr>
          <w:rFonts w:hint="eastAsia"/>
          <w:szCs w:val="21"/>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14:paraId="7732BF3F">
      <w:pPr>
        <w:pStyle w:val="25"/>
        <w:spacing w:line="400" w:lineRule="exact"/>
        <w:ind w:firstLine="440" w:firstLineChars="200"/>
        <w:rPr>
          <w:rFonts w:hAnsi="宋体"/>
          <w:lang w:eastAsia="zh-CN"/>
        </w:rPr>
      </w:pPr>
      <w:r>
        <w:rPr>
          <w:rFonts w:hint="eastAsia" w:hAnsi="宋体"/>
          <w:lang w:eastAsia="zh-CN"/>
        </w:rPr>
        <w:t>第八条 双方确定，甲方指定</w:t>
      </w:r>
      <w:r>
        <w:rPr>
          <w:rFonts w:hint="eastAsia" w:hAnsi="宋体"/>
          <w:u w:val="single"/>
          <w:lang w:eastAsia="zh-CN"/>
        </w:rPr>
        <w:t xml:space="preserve"> 罗天杰</w:t>
      </w:r>
      <w:r>
        <w:rPr>
          <w:rFonts w:hint="eastAsia" w:hAnsi="宋体"/>
          <w:lang w:eastAsia="zh-CN"/>
        </w:rPr>
        <w:t>甲方项目联系人，乙方指定</w:t>
      </w:r>
      <w:r>
        <w:rPr>
          <w:rFonts w:hint="eastAsia" w:hAnsi="宋体"/>
          <w:u w:val="single"/>
          <w:lang w:eastAsia="zh-CN"/>
        </w:rPr>
        <w:t xml:space="preserve">    </w:t>
      </w:r>
      <w:r>
        <w:rPr>
          <w:rFonts w:hAnsi="宋体"/>
          <w:u w:val="single"/>
          <w:lang w:eastAsia="zh-CN"/>
        </w:rPr>
        <w:t xml:space="preserve"> </w:t>
      </w:r>
      <w:r>
        <w:rPr>
          <w:rFonts w:hint="eastAsia" w:hAnsi="宋体"/>
          <w:lang w:eastAsia="zh-CN"/>
        </w:rPr>
        <w:t>为乙方项目联系人。</w:t>
      </w:r>
    </w:p>
    <w:p w14:paraId="70DFD942">
      <w:pPr>
        <w:pStyle w:val="25"/>
        <w:spacing w:line="400" w:lineRule="exact"/>
        <w:ind w:firstLine="440" w:firstLineChars="200"/>
        <w:rPr>
          <w:rFonts w:hAnsi="宋体"/>
          <w:lang w:eastAsia="zh-CN"/>
        </w:rPr>
      </w:pPr>
      <w:r>
        <w:rPr>
          <w:rFonts w:hint="eastAsia" w:hAnsi="宋体"/>
          <w:lang w:eastAsia="zh-CN"/>
        </w:rPr>
        <w:t>第九条  违约责任</w:t>
      </w:r>
    </w:p>
    <w:p w14:paraId="569E9F1A">
      <w:pPr>
        <w:spacing w:line="400" w:lineRule="exact"/>
        <w:ind w:firstLine="440" w:firstLineChars="200"/>
        <w:rPr>
          <w:rStyle w:val="78"/>
          <w:color w:val="000000"/>
          <w:lang w:eastAsia="zh-CN"/>
        </w:rPr>
      </w:pPr>
      <w:r>
        <w:rPr>
          <w:rStyle w:val="78"/>
          <w:rFonts w:hint="eastAsia"/>
          <w:color w:val="000000"/>
          <w:lang w:eastAsia="zh-CN"/>
        </w:rPr>
        <w:t>1．乙方逾期提交服务咨询报告的，每日应向甲方支付违约金合同总金额0</w:t>
      </w:r>
      <w:r>
        <w:rPr>
          <w:rStyle w:val="78"/>
          <w:color w:val="000000"/>
          <w:lang w:eastAsia="zh-CN"/>
        </w:rPr>
        <w:t>.1</w:t>
      </w:r>
      <w:r>
        <w:rPr>
          <w:rStyle w:val="78"/>
          <w:rFonts w:hint="eastAsia"/>
          <w:color w:val="000000"/>
          <w:lang w:eastAsia="zh-CN"/>
        </w:rPr>
        <w:t>%，逾期超过</w:t>
      </w:r>
      <w:r>
        <w:rPr>
          <w:rFonts w:hint="eastAsia"/>
          <w:szCs w:val="21"/>
          <w:u w:val="single"/>
          <w:lang w:eastAsia="zh-CN"/>
        </w:rPr>
        <w:t xml:space="preserve"> </w:t>
      </w:r>
      <w:r>
        <w:rPr>
          <w:szCs w:val="21"/>
          <w:u w:val="single"/>
          <w:lang w:eastAsia="zh-CN"/>
        </w:rPr>
        <w:t xml:space="preserve">10 </w:t>
      </w:r>
      <w:r>
        <w:rPr>
          <w:rStyle w:val="78"/>
          <w:rFonts w:hint="eastAsia"/>
          <w:color w:val="000000"/>
          <w:lang w:eastAsia="zh-CN"/>
        </w:rPr>
        <w:t>日的，甲方还有权解除本合同并要求乙方退还已经收取的费用。</w:t>
      </w:r>
    </w:p>
    <w:p w14:paraId="1E4A9877">
      <w:pPr>
        <w:pStyle w:val="25"/>
        <w:spacing w:line="400" w:lineRule="exact"/>
        <w:ind w:firstLine="440" w:firstLineChars="200"/>
        <w:rPr>
          <w:rStyle w:val="78"/>
          <w:color w:val="000000"/>
          <w:lang w:eastAsia="zh-CN"/>
        </w:rPr>
      </w:pPr>
      <w:r>
        <w:rPr>
          <w:rStyle w:val="78"/>
          <w:rFonts w:hint="eastAsia"/>
          <w:color w:val="000000"/>
          <w:lang w:eastAsia="zh-CN"/>
        </w:rPr>
        <w:t>2．乙方提交的服务咨询报告不符合合同约定的，应在甲方指定期限内修改完善直至符合合同约定为止，由此造成逾期提交的，按照第1款约定执行。</w:t>
      </w:r>
    </w:p>
    <w:p w14:paraId="2EC7D5EA">
      <w:pPr>
        <w:pStyle w:val="25"/>
        <w:spacing w:line="400" w:lineRule="exact"/>
        <w:ind w:firstLine="440" w:firstLineChars="200"/>
        <w:rPr>
          <w:rFonts w:hAnsi="宋体"/>
          <w:lang w:eastAsia="zh-CN"/>
        </w:rPr>
      </w:pPr>
      <w:r>
        <w:rPr>
          <w:rStyle w:val="78"/>
          <w:rFonts w:hint="eastAsia"/>
          <w:color w:val="000000"/>
          <w:lang w:eastAsia="zh-CN"/>
        </w:rPr>
        <w:t>3．任何一方违反保密义务的，应向对方支付违约金人民币</w:t>
      </w:r>
      <w:r>
        <w:rPr>
          <w:rFonts w:hint="eastAsia" w:hAnsi="宋体"/>
          <w:u w:val="single"/>
          <w:lang w:eastAsia="zh-CN"/>
        </w:rPr>
        <w:t xml:space="preserve"> </w:t>
      </w:r>
      <w:r>
        <w:rPr>
          <w:rFonts w:hAnsi="宋体"/>
          <w:u w:val="single"/>
          <w:lang w:eastAsia="zh-CN"/>
        </w:rPr>
        <w:t xml:space="preserve">10000 </w:t>
      </w:r>
      <w:r>
        <w:rPr>
          <w:rStyle w:val="78"/>
          <w:rFonts w:hint="eastAsia"/>
          <w:color w:val="000000"/>
          <w:lang w:eastAsia="zh-CN"/>
        </w:rPr>
        <w:t>元；赔偿由此给对方造成的损失。</w:t>
      </w:r>
    </w:p>
    <w:p w14:paraId="43662CD4">
      <w:pPr>
        <w:pStyle w:val="25"/>
        <w:spacing w:line="400" w:lineRule="exact"/>
        <w:ind w:firstLine="440" w:firstLineChars="200"/>
        <w:rPr>
          <w:rFonts w:hAnsi="宋体"/>
          <w:lang w:eastAsia="zh-CN"/>
        </w:rPr>
      </w:pPr>
      <w:r>
        <w:rPr>
          <w:rFonts w:hint="eastAsia" w:hAnsi="宋体"/>
          <w:lang w:eastAsia="zh-CN"/>
        </w:rPr>
        <w:t>第十条 双方因履行本合同而发生的争议，可协商、调解解决，也可直接采取下列第</w:t>
      </w:r>
      <w:r>
        <w:rPr>
          <w:rFonts w:hint="eastAsia" w:hAnsi="宋体"/>
          <w:u w:val="single"/>
          <w:lang w:eastAsia="zh-CN"/>
        </w:rPr>
        <w:t xml:space="preserve">  </w:t>
      </w:r>
      <w:r>
        <w:rPr>
          <w:rFonts w:hAnsi="宋体"/>
          <w:u w:val="single"/>
          <w:lang w:eastAsia="zh-CN"/>
        </w:rPr>
        <w:t>2</w:t>
      </w:r>
      <w:r>
        <w:rPr>
          <w:rFonts w:hint="eastAsia" w:hAnsi="宋体"/>
          <w:lang w:eastAsia="zh-CN"/>
        </w:rPr>
        <w:t>种方式解决：</w:t>
      </w:r>
    </w:p>
    <w:p w14:paraId="41D28B0C">
      <w:pPr>
        <w:pStyle w:val="25"/>
        <w:spacing w:line="400" w:lineRule="exact"/>
        <w:ind w:firstLine="440" w:firstLineChars="200"/>
        <w:rPr>
          <w:rFonts w:hAnsi="宋体"/>
          <w:lang w:eastAsia="zh-CN"/>
        </w:rPr>
      </w:pPr>
      <w:r>
        <w:rPr>
          <w:rFonts w:hint="eastAsia" w:hAnsi="宋体"/>
          <w:lang w:eastAsia="zh-CN"/>
        </w:rPr>
        <w:t>1．向</w:t>
      </w:r>
      <w:r>
        <w:rPr>
          <w:rFonts w:hint="eastAsia" w:hAnsi="宋体"/>
          <w:u w:val="single"/>
          <w:lang w:eastAsia="zh-CN"/>
        </w:rPr>
        <w:t xml:space="preserve">    </w:t>
      </w:r>
      <w:r>
        <w:rPr>
          <w:rFonts w:hAnsi="宋体"/>
          <w:u w:val="single"/>
          <w:lang w:eastAsia="zh-CN"/>
        </w:rPr>
        <w:t xml:space="preserve"> </w:t>
      </w:r>
      <w:r>
        <w:rPr>
          <w:rFonts w:hint="eastAsia" w:hAnsi="宋体"/>
          <w:lang w:eastAsia="zh-CN"/>
        </w:rPr>
        <w:t>仲裁委员会申请仲裁；</w:t>
      </w:r>
    </w:p>
    <w:p w14:paraId="452D1085">
      <w:pPr>
        <w:pStyle w:val="25"/>
        <w:spacing w:line="400" w:lineRule="exact"/>
        <w:ind w:firstLine="440" w:firstLineChars="200"/>
        <w:rPr>
          <w:rFonts w:hAnsi="宋体"/>
          <w:lang w:eastAsia="zh-CN"/>
        </w:rPr>
      </w:pPr>
      <w:r>
        <w:rPr>
          <w:rFonts w:hint="eastAsia" w:hAnsi="宋体"/>
          <w:lang w:eastAsia="zh-CN"/>
        </w:rPr>
        <w:t>2．向甲方所在地人民法院提起诉讼。</w:t>
      </w:r>
    </w:p>
    <w:p w14:paraId="6CDF8AE4">
      <w:pPr>
        <w:pStyle w:val="25"/>
        <w:spacing w:line="400" w:lineRule="exact"/>
        <w:ind w:firstLine="440" w:firstLineChars="200"/>
        <w:rPr>
          <w:rFonts w:hAnsi="宋体"/>
          <w:lang w:eastAsia="zh-CN"/>
        </w:rPr>
      </w:pPr>
      <w:r>
        <w:rPr>
          <w:rFonts w:hint="eastAsia" w:hAnsi="宋体"/>
          <w:lang w:eastAsia="zh-CN"/>
        </w:rPr>
        <w:t>第十一条 其他</w:t>
      </w:r>
    </w:p>
    <w:p w14:paraId="56E03F18">
      <w:pPr>
        <w:pStyle w:val="25"/>
        <w:spacing w:line="400" w:lineRule="exact"/>
        <w:ind w:firstLine="440" w:firstLineChars="200"/>
        <w:rPr>
          <w:rStyle w:val="78"/>
          <w:color w:val="000000"/>
          <w:lang w:eastAsia="zh-CN"/>
        </w:rPr>
      </w:pPr>
      <w:r>
        <w:rPr>
          <w:rStyle w:val="78"/>
          <w:rFonts w:hint="eastAsia"/>
          <w:color w:val="000000"/>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73E155B4">
      <w:pPr>
        <w:pStyle w:val="25"/>
        <w:spacing w:line="400" w:lineRule="exact"/>
        <w:ind w:firstLine="440" w:firstLineChars="200"/>
        <w:rPr>
          <w:rFonts w:hAnsi="宋体"/>
          <w:lang w:eastAsia="zh-CN"/>
        </w:rPr>
      </w:pPr>
      <w:r>
        <w:rPr>
          <w:rFonts w:hint="eastAsia" w:hAnsi="宋体"/>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14:paraId="26A1E05D">
      <w:pPr>
        <w:pStyle w:val="25"/>
        <w:spacing w:line="400" w:lineRule="exact"/>
        <w:ind w:firstLine="440" w:firstLineChars="200"/>
        <w:rPr>
          <w:rFonts w:hAnsi="宋体"/>
          <w:lang w:eastAsia="zh-CN"/>
        </w:rPr>
      </w:pPr>
      <w:r>
        <w:rPr>
          <w:rFonts w:hint="eastAsia" w:hAnsi="宋体"/>
          <w:lang w:eastAsia="zh-CN"/>
        </w:rPr>
        <w:t>第十二条 本合同经双方盖章后生效。本合同一式</w:t>
      </w:r>
      <w:r>
        <w:rPr>
          <w:rFonts w:hAnsi="宋体"/>
          <w:u w:val="single"/>
          <w:lang w:eastAsia="zh-CN"/>
        </w:rPr>
        <w:t>4</w:t>
      </w:r>
      <w:r>
        <w:rPr>
          <w:rFonts w:hint="eastAsia" w:hAnsi="宋体"/>
          <w:lang w:eastAsia="zh-CN"/>
        </w:rPr>
        <w:t>份，甲方执</w:t>
      </w:r>
      <w:r>
        <w:rPr>
          <w:rFonts w:hAnsi="宋体"/>
          <w:u w:val="single"/>
          <w:lang w:eastAsia="zh-CN"/>
        </w:rPr>
        <w:t>3</w:t>
      </w:r>
      <w:r>
        <w:rPr>
          <w:rFonts w:hint="eastAsia" w:hAnsi="宋体"/>
          <w:lang w:eastAsia="zh-CN"/>
        </w:rPr>
        <w:t>份，乙方执</w:t>
      </w:r>
      <w:r>
        <w:rPr>
          <w:rFonts w:hint="eastAsia" w:hAnsi="宋体"/>
          <w:u w:val="single"/>
          <w:lang w:eastAsia="zh-CN"/>
        </w:rPr>
        <w:t xml:space="preserve"> </w:t>
      </w:r>
      <w:r>
        <w:rPr>
          <w:rFonts w:hAnsi="宋体"/>
          <w:u w:val="single"/>
          <w:lang w:eastAsia="zh-CN"/>
        </w:rPr>
        <w:t xml:space="preserve">1 </w:t>
      </w:r>
      <w:r>
        <w:rPr>
          <w:rFonts w:hint="eastAsia" w:hAnsi="宋体"/>
          <w:lang w:eastAsia="zh-CN"/>
        </w:rPr>
        <w:t>份，具有同等法律效力。</w:t>
      </w:r>
    </w:p>
    <w:p w14:paraId="2B2920EF">
      <w:pPr>
        <w:pStyle w:val="25"/>
        <w:spacing w:line="400" w:lineRule="exact"/>
        <w:rPr>
          <w:rFonts w:hAnsi="宋体"/>
          <w:lang w:eastAsia="zh-CN"/>
        </w:rPr>
      </w:pPr>
    </w:p>
    <w:p w14:paraId="63E13FCC">
      <w:pPr>
        <w:pStyle w:val="25"/>
        <w:spacing w:line="400" w:lineRule="exact"/>
        <w:ind w:firstLine="440" w:firstLineChars="200"/>
        <w:rPr>
          <w:rFonts w:hAnsi="宋体"/>
        </w:rPr>
      </w:pPr>
      <w:r>
        <w:rPr>
          <w:rFonts w:hint="eastAsia" w:hAnsi="宋体"/>
        </w:rPr>
        <w:t>甲方（公章）:   　                                 乙方：（公章）</w:t>
      </w:r>
    </w:p>
    <w:p w14:paraId="5359602E">
      <w:pPr>
        <w:pStyle w:val="25"/>
        <w:spacing w:line="400" w:lineRule="exact"/>
        <w:ind w:firstLine="440" w:firstLineChars="200"/>
        <w:rPr>
          <w:rFonts w:hAnsi="宋体"/>
        </w:rPr>
      </w:pPr>
      <w:r>
        <w:rPr>
          <w:rFonts w:hint="eastAsia" w:hAnsi="宋体"/>
        </w:rPr>
        <w:t xml:space="preserve">                           </w:t>
      </w:r>
    </w:p>
    <w:p w14:paraId="26CBB435">
      <w:pPr>
        <w:pStyle w:val="25"/>
        <w:spacing w:line="400" w:lineRule="exact"/>
        <w:rPr>
          <w:rFonts w:hAnsi="宋体"/>
          <w:lang w:eastAsia="zh-CN"/>
        </w:rPr>
      </w:pPr>
      <w:r>
        <w:rPr>
          <w:rFonts w:hint="eastAsia" w:hAnsi="宋体"/>
        </w:rPr>
        <w:t xml:space="preserve">   </w:t>
      </w:r>
      <w:r>
        <w:rPr>
          <w:rFonts w:hAnsi="宋体"/>
        </w:rPr>
        <w:t xml:space="preserve">   </w:t>
      </w:r>
      <w:r>
        <w:rPr>
          <w:rFonts w:hAnsi="宋体"/>
          <w:lang w:eastAsia="zh-CN"/>
        </w:rPr>
        <w:t>2024年12月      日</w:t>
      </w:r>
      <w:r>
        <w:rPr>
          <w:rFonts w:hint="eastAsia" w:hAnsi="宋体"/>
          <w:lang w:eastAsia="zh-CN"/>
        </w:rPr>
        <w:t xml:space="preserve">                             </w:t>
      </w:r>
      <w:r>
        <w:rPr>
          <w:rFonts w:hAnsi="宋体"/>
          <w:lang w:eastAsia="zh-CN"/>
        </w:rPr>
        <w:t>2024年12月      日</w:t>
      </w:r>
    </w:p>
    <w:p w14:paraId="6FCD1384">
      <w:pPr>
        <w:tabs>
          <w:tab w:val="left" w:pos="420"/>
        </w:tabs>
        <w:rPr>
          <w:sz w:val="24"/>
          <w:szCs w:val="24"/>
          <w:lang w:eastAsia="zh-CN"/>
        </w:rPr>
      </w:pPr>
    </w:p>
    <w:p w14:paraId="2972ACFC">
      <w:pPr>
        <w:pStyle w:val="2"/>
      </w:pPr>
    </w:p>
    <w:p w14:paraId="2F63071B">
      <w:pPr>
        <w:pStyle w:val="2"/>
      </w:pPr>
    </w:p>
    <w:p w14:paraId="05145C32">
      <w:pPr>
        <w:pStyle w:val="2"/>
      </w:pPr>
    </w:p>
    <w:p w14:paraId="7921A548">
      <w:pPr>
        <w:pStyle w:val="2"/>
      </w:pPr>
    </w:p>
    <w:p w14:paraId="1ACEA110">
      <w:pPr>
        <w:pStyle w:val="2"/>
      </w:pPr>
    </w:p>
    <w:p w14:paraId="0405977E">
      <w:pPr>
        <w:pStyle w:val="2"/>
      </w:pPr>
    </w:p>
    <w:p w14:paraId="7F2F0230">
      <w:pPr>
        <w:pStyle w:val="2"/>
      </w:pPr>
    </w:p>
    <w:p w14:paraId="4973E558">
      <w:pPr>
        <w:pStyle w:val="2"/>
      </w:pPr>
    </w:p>
    <w:p w14:paraId="7E324F2F">
      <w:pPr>
        <w:pStyle w:val="2"/>
        <w:rPr>
          <w:rFonts w:hint="eastAsia"/>
        </w:rPr>
      </w:pPr>
    </w:p>
    <w:p w14:paraId="252F5884">
      <w:pPr>
        <w:pStyle w:val="2"/>
      </w:pPr>
    </w:p>
    <w:p w14:paraId="6591647C">
      <w:pPr>
        <w:spacing w:line="360" w:lineRule="auto"/>
        <w:rPr>
          <w:sz w:val="24"/>
          <w:szCs w:val="24"/>
          <w:lang w:eastAsia="zh-CN"/>
        </w:rPr>
      </w:pPr>
      <w:r>
        <w:rPr>
          <w:sz w:val="24"/>
          <w:szCs w:val="24"/>
          <w:lang w:eastAsia="zh-CN"/>
        </w:rPr>
        <w:t>附件</w:t>
      </w:r>
      <w:r>
        <w:rPr>
          <w:rFonts w:hint="eastAsia"/>
          <w:sz w:val="24"/>
          <w:szCs w:val="24"/>
          <w:lang w:eastAsia="zh-CN"/>
        </w:rPr>
        <w:t>：</w:t>
      </w:r>
    </w:p>
    <w:p w14:paraId="02F654C7">
      <w:pPr>
        <w:snapToGrid w:val="0"/>
        <w:spacing w:before="156" w:beforeLines="50" w:line="300" w:lineRule="auto"/>
        <w:ind w:left="2143" w:leftChars="171" w:hanging="1767" w:hangingChars="550"/>
        <w:jc w:val="center"/>
        <w:rPr>
          <w:b/>
          <w:sz w:val="32"/>
          <w:szCs w:val="32"/>
          <w:lang w:eastAsia="zh-CN"/>
        </w:rPr>
      </w:pPr>
      <w:r>
        <w:rPr>
          <w:rFonts w:hint="eastAsia"/>
          <w:b/>
          <w:sz w:val="32"/>
          <w:szCs w:val="32"/>
          <w:lang w:eastAsia="zh-CN"/>
        </w:rPr>
        <w:t>翔鹭石化（漳州）有限公司</w:t>
      </w:r>
    </w:p>
    <w:p w14:paraId="3F1EFF81">
      <w:pPr>
        <w:snapToGrid w:val="0"/>
        <w:spacing w:before="156" w:beforeLines="50" w:line="300" w:lineRule="auto"/>
        <w:ind w:left="2143" w:leftChars="171" w:hanging="1767" w:hangingChars="550"/>
        <w:jc w:val="center"/>
        <w:rPr>
          <w:b/>
          <w:sz w:val="32"/>
          <w:szCs w:val="32"/>
          <w:lang w:eastAsia="zh-CN"/>
        </w:rPr>
      </w:pPr>
      <w:r>
        <w:rPr>
          <w:rFonts w:hint="eastAsia"/>
          <w:b/>
          <w:sz w:val="32"/>
          <w:szCs w:val="32"/>
          <w:lang w:eastAsia="zh-CN"/>
        </w:rPr>
        <w:t>PTA现场人员用房</w:t>
      </w:r>
    </w:p>
    <w:p w14:paraId="233CCDF6">
      <w:pPr>
        <w:snapToGrid w:val="0"/>
        <w:spacing w:before="156" w:beforeLines="50" w:line="300" w:lineRule="auto"/>
        <w:ind w:left="2143" w:leftChars="171" w:hanging="1767" w:hangingChars="550"/>
        <w:jc w:val="center"/>
        <w:rPr>
          <w:b/>
          <w:sz w:val="32"/>
          <w:szCs w:val="32"/>
          <w:lang w:eastAsia="zh-CN"/>
        </w:rPr>
      </w:pPr>
      <w:r>
        <w:rPr>
          <w:rFonts w:hint="eastAsia"/>
          <w:b/>
          <w:sz w:val="32"/>
          <w:szCs w:val="32"/>
          <w:lang w:eastAsia="zh-CN"/>
        </w:rPr>
        <w:t>外部爆炸冲击波影响评估技术服务发包说明</w:t>
      </w:r>
    </w:p>
    <w:p w14:paraId="6EB61587">
      <w:pPr>
        <w:widowControl/>
        <w:numPr>
          <w:ilvl w:val="0"/>
          <w:numId w:val="8"/>
        </w:numPr>
        <w:tabs>
          <w:tab w:val="left" w:pos="567"/>
        </w:tabs>
        <w:autoSpaceDE/>
        <w:autoSpaceDN/>
        <w:spacing w:before="156" w:beforeLines="50" w:line="300" w:lineRule="auto"/>
        <w:ind w:left="482" w:hanging="482"/>
        <w:outlineLvl w:val="0"/>
        <w:rPr>
          <w:rFonts w:cs="楷体"/>
          <w:b/>
          <w:bCs/>
          <w:szCs w:val="21"/>
        </w:rPr>
      </w:pPr>
      <w:bookmarkStart w:id="2" w:name="_Toc415476263"/>
      <w:bookmarkStart w:id="3" w:name="_Toc518860292"/>
      <w:bookmarkStart w:id="4" w:name="_Toc415476425"/>
      <w:bookmarkStart w:id="5" w:name="_Toc415476477"/>
      <w:r>
        <w:rPr>
          <w:rFonts w:hint="eastAsia" w:cs="楷体"/>
          <w:b/>
          <w:bCs/>
          <w:szCs w:val="21"/>
        </w:rPr>
        <w:t>项目概况</w:t>
      </w:r>
    </w:p>
    <w:p w14:paraId="5A64E0F7">
      <w:pPr>
        <w:spacing w:line="600" w:lineRule="exact"/>
        <w:ind w:firstLine="440" w:firstLineChars="200"/>
        <w:rPr>
          <w:rFonts w:hint="eastAsia" w:cs="仿宋"/>
          <w:szCs w:val="21"/>
          <w:lang w:eastAsia="zh-CN"/>
        </w:rPr>
      </w:pPr>
      <w:r>
        <w:rPr>
          <w:rFonts w:cs="仿宋"/>
          <w:szCs w:val="21"/>
          <w:lang w:eastAsia="zh-CN"/>
        </w:rPr>
        <w:t>福建福海创石油化工有限公司300万吨/年精对苯二甲酸（PTA）项目</w:t>
      </w:r>
      <w:r>
        <w:rPr>
          <w:rFonts w:hint="eastAsia" w:cs="仿宋"/>
          <w:szCs w:val="21"/>
          <w:lang w:eastAsia="zh-CN"/>
        </w:rPr>
        <w:t>拟</w:t>
      </w:r>
      <w:r>
        <w:rPr>
          <w:rFonts w:cs="仿宋"/>
          <w:szCs w:val="21"/>
          <w:lang w:eastAsia="zh-CN"/>
        </w:rPr>
        <w:t>建于公司厂区内预留地，与正在运行的450万吨/年PTA装置处于同一厂区。</w:t>
      </w:r>
      <w:r>
        <w:rPr>
          <w:rFonts w:hint="eastAsia" w:cs="仿宋"/>
          <w:szCs w:val="21"/>
          <w:lang w:eastAsia="zh-CN"/>
        </w:rPr>
        <w:t>目前</w:t>
      </w:r>
      <w:r>
        <w:rPr>
          <w:rFonts w:cs="仿宋"/>
          <w:szCs w:val="21"/>
          <w:lang w:eastAsia="zh-CN"/>
        </w:rPr>
        <w:t>拟建</w:t>
      </w:r>
      <w:r>
        <w:rPr>
          <w:rFonts w:hint="eastAsia" w:cs="仿宋"/>
          <w:szCs w:val="21"/>
          <w:lang w:eastAsia="zh-CN"/>
        </w:rPr>
        <w:t>PTA现场人员</w:t>
      </w:r>
      <w:bookmarkStart w:id="6" w:name="_Hlk183083139"/>
      <w:r>
        <w:rPr>
          <w:rFonts w:hint="eastAsia" w:cs="仿宋"/>
          <w:szCs w:val="21"/>
          <w:lang w:eastAsia="zh-CN"/>
        </w:rPr>
        <w:t>用房</w:t>
      </w:r>
      <w:bookmarkEnd w:id="6"/>
      <w:r>
        <w:rPr>
          <w:rFonts w:hint="eastAsia" w:cs="仿宋"/>
          <w:szCs w:val="21"/>
          <w:lang w:eastAsia="zh-CN"/>
        </w:rPr>
        <w:t>（兼具中控室功能），该用房占地面积1031㎡，建筑面积约1931.3㎡，位于厂区东北角，其西侧为预留用地，西南侧有备件仓库、检维修仓库，具体详见附图。</w:t>
      </w:r>
    </w:p>
    <w:p w14:paraId="6B17468F">
      <w:pPr>
        <w:widowControl/>
        <w:numPr>
          <w:ilvl w:val="0"/>
          <w:numId w:val="8"/>
        </w:numPr>
        <w:tabs>
          <w:tab w:val="left" w:pos="567"/>
        </w:tabs>
        <w:autoSpaceDE/>
        <w:autoSpaceDN/>
        <w:spacing w:before="156" w:beforeLines="50" w:line="300" w:lineRule="auto"/>
        <w:ind w:left="482" w:hanging="482"/>
        <w:outlineLvl w:val="0"/>
        <w:rPr>
          <w:rFonts w:cs="楷体"/>
          <w:b/>
          <w:bCs/>
          <w:szCs w:val="21"/>
        </w:rPr>
      </w:pPr>
      <w:r>
        <w:rPr>
          <w:rFonts w:hint="eastAsia" w:cs="楷体"/>
          <w:b/>
          <w:bCs/>
          <w:szCs w:val="21"/>
        </w:rPr>
        <w:t>项目定义：</w:t>
      </w:r>
    </w:p>
    <w:p w14:paraId="76FACC30">
      <w:pPr>
        <w:spacing w:line="600" w:lineRule="exact"/>
        <w:ind w:firstLine="440" w:firstLineChars="200"/>
        <w:rPr>
          <w:rFonts w:hint="eastAsia"/>
          <w:color w:val="111111"/>
          <w:szCs w:val="21"/>
          <w:lang w:eastAsia="zh-CN"/>
        </w:rPr>
      </w:pPr>
      <w:r>
        <w:rPr>
          <w:rFonts w:hint="eastAsia" w:cs="仿宋"/>
          <w:szCs w:val="21"/>
          <w:lang w:eastAsia="zh-CN"/>
        </w:rPr>
        <w:t>项目名称：翔鹭石化（漳州）有限公司PTA现场人员用房（兼具中控室功能）外部爆炸冲击波影响评估技术服务</w:t>
      </w:r>
    </w:p>
    <w:p w14:paraId="0E78518A">
      <w:pPr>
        <w:spacing w:line="600" w:lineRule="exact"/>
        <w:ind w:firstLine="440" w:firstLineChars="200"/>
        <w:rPr>
          <w:rFonts w:cs="仿宋"/>
          <w:szCs w:val="21"/>
          <w:lang w:eastAsia="zh-CN"/>
        </w:rPr>
      </w:pPr>
      <w:r>
        <w:rPr>
          <w:rFonts w:hint="eastAsia" w:cs="仿宋"/>
          <w:szCs w:val="21"/>
          <w:lang w:eastAsia="zh-CN"/>
        </w:rPr>
        <w:t>项目地点：福建省漳州市古雷港经济开发区</w:t>
      </w:r>
    </w:p>
    <w:p w14:paraId="38DCD79A">
      <w:pPr>
        <w:spacing w:line="600" w:lineRule="exact"/>
        <w:ind w:firstLine="440" w:firstLineChars="200"/>
        <w:rPr>
          <w:rFonts w:cs="仿宋"/>
          <w:szCs w:val="21"/>
          <w:lang w:eastAsia="zh-CN"/>
        </w:rPr>
      </w:pPr>
      <w:r>
        <w:rPr>
          <w:rFonts w:hint="eastAsia" w:cs="仿宋"/>
          <w:szCs w:val="21"/>
          <w:lang w:eastAsia="zh-CN"/>
        </w:rPr>
        <w:t>委托方（甲方）：翔鹭石化（漳州）有限公司</w:t>
      </w:r>
    </w:p>
    <w:p w14:paraId="0B47F8D4">
      <w:pPr>
        <w:widowControl/>
        <w:numPr>
          <w:ilvl w:val="0"/>
          <w:numId w:val="8"/>
        </w:numPr>
        <w:tabs>
          <w:tab w:val="left" w:pos="567"/>
        </w:tabs>
        <w:autoSpaceDE/>
        <w:autoSpaceDN/>
        <w:spacing w:before="156" w:beforeLines="50" w:line="300" w:lineRule="auto"/>
        <w:ind w:left="482" w:hanging="482"/>
        <w:outlineLvl w:val="0"/>
        <w:rPr>
          <w:rFonts w:cs="楷体"/>
          <w:b/>
          <w:bCs/>
          <w:szCs w:val="21"/>
        </w:rPr>
      </w:pPr>
      <w:r>
        <w:rPr>
          <w:rFonts w:hint="eastAsia" w:cs="楷体"/>
          <w:b/>
          <w:bCs/>
          <w:szCs w:val="21"/>
        </w:rPr>
        <w:t>工作内容和要求</w:t>
      </w:r>
    </w:p>
    <w:p w14:paraId="6321943C">
      <w:pPr>
        <w:spacing w:line="600" w:lineRule="exact"/>
        <w:rPr>
          <w:rFonts w:cs="仿宋"/>
          <w:szCs w:val="21"/>
        </w:rPr>
      </w:pPr>
      <w:r>
        <w:rPr>
          <w:rFonts w:cs="仿宋"/>
          <w:szCs w:val="21"/>
        </w:rPr>
        <w:t>3</w:t>
      </w:r>
      <w:r>
        <w:rPr>
          <w:rFonts w:hint="eastAsia" w:cs="仿宋"/>
          <w:szCs w:val="21"/>
        </w:rPr>
        <w:t>.1工作范围</w:t>
      </w:r>
    </w:p>
    <w:p w14:paraId="1A40BCFB">
      <w:pPr>
        <w:spacing w:line="600" w:lineRule="exact"/>
        <w:ind w:firstLine="440" w:firstLineChars="200"/>
        <w:rPr>
          <w:rFonts w:cs="仿宋"/>
          <w:szCs w:val="21"/>
          <w:lang w:eastAsia="zh-CN"/>
        </w:rPr>
      </w:pPr>
      <w:r>
        <w:rPr>
          <w:rFonts w:hint="eastAsia" w:cs="仿宋"/>
          <w:szCs w:val="21"/>
          <w:lang w:eastAsia="zh-CN"/>
        </w:rPr>
        <w:t>福海创PTA厂区范围内全部存在可燃物料泄漏和爆炸危害的储运设施，包括储罐、泵或压缩机、管道，以及装卸设施等。</w:t>
      </w:r>
    </w:p>
    <w:p w14:paraId="409EB456">
      <w:pPr>
        <w:spacing w:line="600" w:lineRule="exact"/>
        <w:ind w:firstLine="440" w:firstLineChars="200"/>
        <w:rPr>
          <w:rFonts w:hint="eastAsia" w:cs="仿宋"/>
          <w:szCs w:val="21"/>
          <w:lang w:eastAsia="zh-CN"/>
        </w:rPr>
      </w:pPr>
      <w:r>
        <w:rPr>
          <w:rFonts w:hint="eastAsia" w:cs="仿宋"/>
          <w:szCs w:val="21"/>
          <w:lang w:eastAsia="zh-CN"/>
        </w:rPr>
        <w:t>本项目考虑的爆炸后果类型包括蒸气云爆炸、压力容器爆炸、沸腾液体膨胀蒸气爆炸（BLEVE）等，爆炸风险分析应采用基于风险的方法进行分析，计算PTA人员用房的爆炸冲击波峰值入射超压及正压作用时间并明确抗爆要求，为PTA人员用房的抗爆结构设计提供依据。</w:t>
      </w:r>
    </w:p>
    <w:p w14:paraId="23792834">
      <w:pPr>
        <w:spacing w:line="600" w:lineRule="exact"/>
        <w:outlineLvl w:val="1"/>
        <w:rPr>
          <w:rFonts w:cs="楷体"/>
          <w:b/>
          <w:bCs/>
          <w:szCs w:val="21"/>
          <w:lang w:eastAsia="zh-CN"/>
        </w:rPr>
      </w:pPr>
      <w:r>
        <w:rPr>
          <w:rFonts w:cs="楷体"/>
          <w:b/>
          <w:bCs/>
          <w:szCs w:val="21"/>
          <w:lang w:eastAsia="zh-CN"/>
        </w:rPr>
        <w:t>3</w:t>
      </w:r>
      <w:r>
        <w:rPr>
          <w:rFonts w:hint="eastAsia" w:cs="楷体"/>
          <w:b/>
          <w:bCs/>
          <w:szCs w:val="21"/>
          <w:lang w:eastAsia="zh-CN"/>
        </w:rPr>
        <w:t>.2编制要求</w:t>
      </w:r>
    </w:p>
    <w:p w14:paraId="7A080803">
      <w:pPr>
        <w:spacing w:line="600" w:lineRule="exact"/>
        <w:ind w:firstLine="440" w:firstLineChars="200"/>
        <w:rPr>
          <w:rFonts w:cs="仿宋"/>
          <w:szCs w:val="21"/>
          <w:lang w:eastAsia="zh-CN"/>
        </w:rPr>
      </w:pPr>
      <w:r>
        <w:rPr>
          <w:rFonts w:hint="eastAsia" w:cs="仿宋"/>
          <w:szCs w:val="21"/>
          <w:lang w:eastAsia="zh-CN"/>
        </w:rPr>
        <w:t>本项目考虑的爆炸后果类型包括蒸气云爆炸、压力容器爆炸、沸腾液体膨胀蒸气爆炸（BLEVE）等，</w:t>
      </w:r>
      <w:r>
        <w:rPr>
          <w:rFonts w:hint="eastAsia"/>
          <w:lang w:eastAsia="zh-CN"/>
        </w:rPr>
        <w:t>爆炸风险分析</w:t>
      </w:r>
      <w:r>
        <w:rPr>
          <w:rFonts w:hint="eastAsia" w:cs="仿宋"/>
          <w:szCs w:val="21"/>
          <w:lang w:eastAsia="zh-CN"/>
        </w:rPr>
        <w:t>建筑物抗爆评估应采用基于风险的方法进行分析，计算</w:t>
      </w:r>
      <w:r>
        <w:rPr>
          <w:rFonts w:hint="eastAsia"/>
          <w:lang w:eastAsia="zh-CN"/>
        </w:rPr>
        <w:t>建筑物的爆炸冲击波峰值入射超压及正压作用时间并明确抗爆要求</w:t>
      </w:r>
      <w:r>
        <w:rPr>
          <w:rFonts w:hint="eastAsia" w:cs="仿宋"/>
          <w:szCs w:val="21"/>
          <w:lang w:eastAsia="zh-CN"/>
        </w:rPr>
        <w:t>。</w:t>
      </w:r>
    </w:p>
    <w:p w14:paraId="212852FA">
      <w:pPr>
        <w:spacing w:line="600" w:lineRule="exact"/>
        <w:ind w:firstLine="440" w:firstLineChars="200"/>
        <w:rPr>
          <w:rFonts w:cs="仿宋"/>
          <w:szCs w:val="21"/>
          <w:lang w:eastAsia="zh-CN"/>
        </w:rPr>
      </w:pPr>
      <w:r>
        <w:rPr>
          <w:rFonts w:hint="eastAsia" w:cs="仿宋"/>
          <w:szCs w:val="21"/>
          <w:lang w:eastAsia="zh-CN"/>
        </w:rPr>
        <w:t>为</w:t>
      </w:r>
      <w:r>
        <w:rPr>
          <w:rFonts w:cs="仿宋"/>
          <w:szCs w:val="21"/>
          <w:lang w:eastAsia="zh-CN"/>
        </w:rPr>
        <w:t>确保分析过程严谨，关键过程内容在分析报告中</w:t>
      </w:r>
      <w:r>
        <w:rPr>
          <w:rFonts w:hint="eastAsia" w:cs="仿宋"/>
          <w:szCs w:val="21"/>
          <w:lang w:eastAsia="zh-CN"/>
        </w:rPr>
        <w:t>应进行详细</w:t>
      </w:r>
      <w:r>
        <w:rPr>
          <w:rFonts w:cs="仿宋"/>
          <w:szCs w:val="21"/>
          <w:lang w:eastAsia="zh-CN"/>
        </w:rPr>
        <w:t>阐述</w:t>
      </w:r>
      <w:r>
        <w:rPr>
          <w:rFonts w:hint="eastAsia" w:cs="仿宋"/>
          <w:szCs w:val="21"/>
          <w:lang w:eastAsia="zh-CN"/>
        </w:rPr>
        <w:t>，</w:t>
      </w:r>
      <w:r>
        <w:rPr>
          <w:rFonts w:cs="仿宋"/>
          <w:szCs w:val="21"/>
          <w:lang w:eastAsia="zh-CN"/>
        </w:rPr>
        <w:t>建筑物抗爆分析报告内容应至少包括：项目背景介绍、分析方法介绍、项目分析基础（如：</w:t>
      </w:r>
      <w:r>
        <w:rPr>
          <w:rFonts w:hint="eastAsia" w:cs="仿宋"/>
          <w:szCs w:val="21"/>
          <w:lang w:eastAsia="zh-CN"/>
        </w:rPr>
        <w:t>环境条件、泄漏量计算原则、泄漏方向、泄漏检测及关断时间、泄漏频率分析、点火概率分析、损伤阈值等基础输入条件及假设</w:t>
      </w:r>
      <w:r>
        <w:rPr>
          <w:rFonts w:cs="仿宋"/>
          <w:szCs w:val="21"/>
          <w:lang w:eastAsia="zh-CN"/>
        </w:rPr>
        <w:t>）、</w:t>
      </w:r>
      <w:r>
        <w:rPr>
          <w:rFonts w:hint="eastAsia" w:cs="仿宋"/>
          <w:szCs w:val="21"/>
          <w:lang w:eastAsia="zh-CN"/>
        </w:rPr>
        <w:t>风险场景辨识（</w:t>
      </w:r>
      <w:r>
        <w:rPr>
          <w:rFonts w:cs="仿宋"/>
          <w:szCs w:val="21"/>
          <w:lang w:eastAsia="zh-CN"/>
        </w:rPr>
        <w:t>如：</w:t>
      </w:r>
      <w:r>
        <w:rPr>
          <w:rFonts w:hint="eastAsia" w:cs="仿宋"/>
          <w:szCs w:val="21"/>
          <w:lang w:eastAsia="zh-CN"/>
        </w:rPr>
        <w:t>危险源辨识、敏感建筑辨识、爆炸源强度辨识等）、数据处理分析（</w:t>
      </w:r>
      <w:r>
        <w:rPr>
          <w:rFonts w:cs="仿宋"/>
          <w:szCs w:val="21"/>
          <w:lang w:eastAsia="zh-CN"/>
        </w:rPr>
        <w:t>如：</w:t>
      </w:r>
      <w:r>
        <w:rPr>
          <w:rFonts w:hint="eastAsia" w:cs="仿宋"/>
          <w:szCs w:val="21"/>
          <w:lang w:eastAsia="zh-CN"/>
        </w:rPr>
        <w:t>泄漏单元划分、泄漏频率分析、点火概率分析等）、建筑物抗爆要求（</w:t>
      </w:r>
      <w:r>
        <w:rPr>
          <w:rFonts w:cs="仿宋"/>
          <w:szCs w:val="21"/>
          <w:lang w:eastAsia="zh-CN"/>
        </w:rPr>
        <w:t>如：</w:t>
      </w:r>
      <w:r>
        <w:rPr>
          <w:rFonts w:hint="eastAsia" w:cs="仿宋"/>
          <w:szCs w:val="21"/>
          <w:lang w:eastAsia="zh-CN"/>
        </w:rPr>
        <w:t>爆炸超压曲线等）以及相应附件（包括泄漏单元信息清单、隔离单元划分PID、泄漏单元部件统计及频率统计等）。报告中还应罗列与正文相呼应的图、表等数据，确保报告条理清晰、结论准确、可读性强。</w:t>
      </w:r>
    </w:p>
    <w:p w14:paraId="23040C46">
      <w:pPr>
        <w:spacing w:line="600" w:lineRule="exact"/>
        <w:outlineLvl w:val="1"/>
        <w:rPr>
          <w:rFonts w:cs="楷体"/>
          <w:b/>
          <w:bCs/>
          <w:szCs w:val="21"/>
          <w:lang w:eastAsia="zh-CN"/>
        </w:rPr>
      </w:pPr>
      <w:r>
        <w:rPr>
          <w:rFonts w:cs="楷体"/>
          <w:b/>
          <w:bCs/>
          <w:szCs w:val="21"/>
          <w:lang w:eastAsia="zh-CN"/>
        </w:rPr>
        <w:t>3</w:t>
      </w:r>
      <w:r>
        <w:rPr>
          <w:rFonts w:hint="eastAsia" w:cs="楷体"/>
          <w:b/>
          <w:bCs/>
          <w:szCs w:val="21"/>
          <w:lang w:eastAsia="zh-CN"/>
        </w:rPr>
        <w:t>.3相关标准规范</w:t>
      </w:r>
    </w:p>
    <w:p w14:paraId="6D57AFE5">
      <w:pPr>
        <w:spacing w:line="600" w:lineRule="exact"/>
        <w:rPr>
          <w:lang w:eastAsia="zh-CN"/>
        </w:rPr>
      </w:pPr>
      <w:r>
        <w:rPr>
          <w:rFonts w:hint="eastAsia"/>
          <w:lang w:eastAsia="zh-CN"/>
        </w:rPr>
        <w:t>本项目执行或参考的国家标准、规范至少包括：</w:t>
      </w:r>
    </w:p>
    <w:p w14:paraId="5803D58F">
      <w:pPr>
        <w:spacing w:line="600" w:lineRule="exact"/>
        <w:rPr>
          <w:rFonts w:hint="eastAsia"/>
          <w:lang w:eastAsia="zh-CN"/>
        </w:rPr>
      </w:pPr>
      <w:r>
        <w:rPr>
          <w:lang w:eastAsia="zh-CN"/>
        </w:rPr>
        <w:t xml:space="preserve"> </w:t>
      </w:r>
      <w:r>
        <w:rPr>
          <w:rFonts w:hint="eastAsia"/>
          <w:lang w:eastAsia="zh-CN"/>
        </w:rPr>
        <w:t>《石油化工控制室设计规范》</w:t>
      </w:r>
      <w:r>
        <w:rPr>
          <w:lang w:eastAsia="zh-CN"/>
        </w:rPr>
        <w:t>SH/T3006-20</w:t>
      </w:r>
      <w:r>
        <w:rPr>
          <w:rFonts w:hint="eastAsia"/>
          <w:lang w:eastAsia="zh-CN"/>
        </w:rPr>
        <w:t>24</w:t>
      </w:r>
    </w:p>
    <w:p w14:paraId="2624A20C">
      <w:pPr>
        <w:spacing w:line="600" w:lineRule="exact"/>
        <w:rPr>
          <w:lang w:eastAsia="zh-CN"/>
        </w:rPr>
      </w:pPr>
      <w:r>
        <w:rPr>
          <w:lang w:eastAsia="zh-CN"/>
        </w:rPr>
        <w:t xml:space="preserve"> </w:t>
      </w:r>
      <w:r>
        <w:rPr>
          <w:rFonts w:hint="eastAsia"/>
          <w:lang w:eastAsia="zh-CN"/>
        </w:rPr>
        <w:t>《石油化工建筑物抗爆设计标准》</w:t>
      </w:r>
      <w:r>
        <w:rPr>
          <w:lang w:eastAsia="zh-CN"/>
        </w:rPr>
        <w:t>GB/T50779-2022</w:t>
      </w:r>
    </w:p>
    <w:p w14:paraId="66696AB1">
      <w:pPr>
        <w:spacing w:line="600" w:lineRule="exact"/>
        <w:rPr>
          <w:lang w:eastAsia="zh-CN"/>
        </w:rPr>
      </w:pPr>
      <w:r>
        <w:rPr>
          <w:lang w:eastAsia="zh-CN"/>
        </w:rPr>
        <w:t xml:space="preserve"> </w:t>
      </w:r>
      <w:r>
        <w:rPr>
          <w:rFonts w:hint="eastAsia"/>
          <w:lang w:eastAsia="zh-CN"/>
        </w:rPr>
        <w:t>《建筑设计防火规范》</w:t>
      </w:r>
      <w:r>
        <w:rPr>
          <w:lang w:eastAsia="zh-CN"/>
        </w:rPr>
        <w:t>GB50016-20</w:t>
      </w:r>
      <w:r>
        <w:rPr>
          <w:rFonts w:hint="eastAsia"/>
          <w:lang w:eastAsia="zh-CN"/>
        </w:rPr>
        <w:t>24</w:t>
      </w:r>
    </w:p>
    <w:p w14:paraId="752EFB50">
      <w:pPr>
        <w:spacing w:line="600" w:lineRule="exact"/>
        <w:rPr>
          <w:lang w:eastAsia="zh-CN"/>
        </w:rPr>
      </w:pPr>
      <w:r>
        <w:rPr>
          <w:lang w:eastAsia="zh-CN"/>
        </w:rPr>
        <w:t xml:space="preserve"> </w:t>
      </w:r>
      <w:r>
        <w:rPr>
          <w:rFonts w:hint="eastAsia"/>
          <w:lang w:eastAsia="zh-CN"/>
        </w:rPr>
        <w:t>《石油化工工厂布置设计规范》</w:t>
      </w:r>
      <w:r>
        <w:rPr>
          <w:lang w:eastAsia="zh-CN"/>
        </w:rPr>
        <w:t>GB50984-2014</w:t>
      </w:r>
    </w:p>
    <w:p w14:paraId="266C254C">
      <w:pPr>
        <w:spacing w:line="600" w:lineRule="exact"/>
        <w:rPr>
          <w:lang w:eastAsia="zh-CN"/>
        </w:rPr>
      </w:pPr>
      <w:r>
        <w:rPr>
          <w:lang w:eastAsia="zh-CN"/>
        </w:rPr>
        <w:t xml:space="preserve"> </w:t>
      </w:r>
      <w:r>
        <w:rPr>
          <w:rFonts w:hint="eastAsia"/>
          <w:lang w:eastAsia="zh-CN"/>
        </w:rPr>
        <w:t>《化工企业定量风险评价导则》</w:t>
      </w:r>
      <w:r>
        <w:rPr>
          <w:lang w:eastAsia="zh-CN"/>
        </w:rPr>
        <w:t>AQ/T3046-2013</w:t>
      </w:r>
    </w:p>
    <w:p w14:paraId="1DDFAA8E">
      <w:pPr>
        <w:spacing w:line="600" w:lineRule="exact"/>
        <w:rPr>
          <w:lang w:eastAsia="zh-CN"/>
        </w:rPr>
      </w:pPr>
      <w:r>
        <w:rPr>
          <w:lang w:eastAsia="zh-CN"/>
        </w:rPr>
        <w:t xml:space="preserve"> </w:t>
      </w:r>
      <w:r>
        <w:rPr>
          <w:rFonts w:hint="eastAsia"/>
          <w:lang w:eastAsia="zh-CN"/>
        </w:rPr>
        <w:t>《危险化学品生产装置和储存设施外部安全防护距离确定方法》</w:t>
      </w:r>
      <w:r>
        <w:rPr>
          <w:lang w:eastAsia="zh-CN"/>
        </w:rPr>
        <w:t>GB/T37243-2019</w:t>
      </w:r>
    </w:p>
    <w:p w14:paraId="289ECA2D">
      <w:pPr>
        <w:spacing w:line="600" w:lineRule="exact"/>
        <w:rPr>
          <w:lang w:eastAsia="zh-CN"/>
        </w:rPr>
      </w:pPr>
      <w:r>
        <w:rPr>
          <w:lang w:eastAsia="zh-CN"/>
        </w:rPr>
        <w:t xml:space="preserve"> </w:t>
      </w:r>
      <w:r>
        <w:rPr>
          <w:rFonts w:hint="eastAsia"/>
          <w:lang w:eastAsia="zh-CN"/>
        </w:rPr>
        <w:t>《控制室设计规范》</w:t>
      </w:r>
      <w:r>
        <w:rPr>
          <w:lang w:eastAsia="zh-CN"/>
        </w:rPr>
        <w:t>HG/T20508-2014</w:t>
      </w:r>
    </w:p>
    <w:p w14:paraId="6EBEE9DA">
      <w:pPr>
        <w:spacing w:line="600" w:lineRule="exact"/>
        <w:rPr>
          <w:lang w:eastAsia="zh-CN"/>
        </w:rPr>
      </w:pPr>
      <w:r>
        <w:rPr>
          <w:lang w:eastAsia="zh-CN"/>
        </w:rPr>
        <w:t xml:space="preserve"> </w:t>
      </w:r>
      <w:r>
        <w:rPr>
          <w:rFonts w:hint="eastAsia"/>
          <w:lang w:eastAsia="zh-CN"/>
        </w:rPr>
        <w:t>《石油化工企业职业安全卫生设计规范》</w:t>
      </w:r>
      <w:r>
        <w:rPr>
          <w:lang w:eastAsia="zh-CN"/>
        </w:rPr>
        <w:t>SH/T3047-2021</w:t>
      </w:r>
    </w:p>
    <w:p w14:paraId="2D1E314E">
      <w:pPr>
        <w:spacing w:line="600" w:lineRule="exact"/>
        <w:rPr>
          <w:lang w:eastAsia="zh-CN"/>
        </w:rPr>
      </w:pPr>
      <w:r>
        <w:rPr>
          <w:lang w:eastAsia="zh-CN"/>
        </w:rPr>
        <w:t xml:space="preserve"> </w:t>
      </w:r>
      <w:r>
        <w:rPr>
          <w:rFonts w:hint="eastAsia"/>
          <w:lang w:eastAsia="zh-CN"/>
        </w:rPr>
        <w:t>《石油化工企业建筑物分类标准》</w:t>
      </w:r>
      <w:r>
        <w:rPr>
          <w:lang w:eastAsia="zh-CN"/>
        </w:rPr>
        <w:t>SH/T3196-2017</w:t>
      </w:r>
    </w:p>
    <w:p w14:paraId="7A564065">
      <w:pPr>
        <w:spacing w:line="600" w:lineRule="exact"/>
        <w:rPr>
          <w:lang w:eastAsia="zh-CN"/>
        </w:rPr>
      </w:pPr>
      <w:r>
        <w:rPr>
          <w:rFonts w:hint="eastAsia"/>
          <w:lang w:eastAsia="zh-CN"/>
        </w:rPr>
        <w:t>本项目参考的国际性指南和规范至少包括：</w:t>
      </w:r>
    </w:p>
    <w:p w14:paraId="59F15255">
      <w:pPr>
        <w:spacing w:line="600" w:lineRule="exact"/>
      </w:pPr>
      <w:r>
        <w:t> API RP752. Management of hazards associated with location of process plant permanent buildings, 3rd edition, 2009.</w:t>
      </w:r>
    </w:p>
    <w:p w14:paraId="19F07999">
      <w:pPr>
        <w:spacing w:line="600" w:lineRule="exact"/>
      </w:pPr>
      <w:r>
        <w:t> Chemical Industry Association (CIA). Guidelines for the location and design of occupied buildings on chemical manufacturing sites, 3</w:t>
      </w:r>
      <w:r>
        <w:rPr>
          <w:vertAlign w:val="superscript"/>
        </w:rPr>
        <w:t>rd</w:t>
      </w:r>
      <w:r>
        <w:rPr>
          <w:rFonts w:hint="eastAsia"/>
        </w:rPr>
        <w:t xml:space="preserve"> </w:t>
      </w:r>
      <w:r>
        <w:t>edition, 2010.</w:t>
      </w:r>
    </w:p>
    <w:p w14:paraId="39759995">
      <w:pPr>
        <w:spacing w:line="600" w:lineRule="exact"/>
      </w:pPr>
      <w:r>
        <w:t> AIChE CCPS. Guidelines for evaluating process plant buildings for external explosions, fires and toxic release, 2nd edition, 2012.</w:t>
      </w:r>
    </w:p>
    <w:p w14:paraId="6F91A90A">
      <w:pPr>
        <w:spacing w:line="600" w:lineRule="exact"/>
      </w:pPr>
      <w:r>
        <w:t> AIChE CCPS. Guidelines for facility siting and layout, 2003.</w:t>
      </w:r>
    </w:p>
    <w:p w14:paraId="420EE283">
      <w:pPr>
        <w:spacing w:line="600" w:lineRule="exact"/>
      </w:pPr>
      <w:r>
        <w:t xml:space="preserve"> American Society of Civil Engineers (ASCE). Design of blast resistant </w:t>
      </w:r>
    </w:p>
    <w:p w14:paraId="50149B6C">
      <w:pPr>
        <w:spacing w:line="600" w:lineRule="exact"/>
      </w:pPr>
      <w:r>
        <w:t>buildings in petrochemical facilities, 2nd edition, 2010.</w:t>
      </w:r>
    </w:p>
    <w:p w14:paraId="419B6449">
      <w:pPr>
        <w:spacing w:line="600" w:lineRule="exact"/>
      </w:pPr>
      <w:r>
        <w:t> UK Health and Safety Executive (HSE) CCR151.Derivation of fatality probability functions for occupants of buildings subject to blast load, phase 4, 1997.</w:t>
      </w:r>
    </w:p>
    <w:p w14:paraId="01632D80">
      <w:pPr>
        <w:spacing w:line="600" w:lineRule="exact"/>
      </w:pPr>
      <w:r>
        <w:t> U.S Department of Defense. Technical Report (TR) No.14, Approved methods and algorithms for DOD risk-based explosives siting, revision 3, 2009.</w:t>
      </w:r>
    </w:p>
    <w:p w14:paraId="54D526F8">
      <w:pPr>
        <w:spacing w:line="600" w:lineRule="exact"/>
      </w:pPr>
      <w:r>
        <w:t> National Institute of Public Health and Environment (RIVM) of Netherland. Reference Manual Bevi Risk Assessment version 3.2. July 01, 2009.</w:t>
      </w:r>
    </w:p>
    <w:p w14:paraId="1044DD07">
      <w:pPr>
        <w:spacing w:line="600" w:lineRule="exact"/>
        <w:outlineLvl w:val="1"/>
        <w:rPr>
          <w:rFonts w:cs="楷体"/>
          <w:b/>
          <w:bCs/>
          <w:szCs w:val="21"/>
        </w:rPr>
      </w:pPr>
      <w:r>
        <w:rPr>
          <w:rFonts w:cs="楷体"/>
          <w:b/>
          <w:bCs/>
          <w:szCs w:val="21"/>
        </w:rPr>
        <w:t>3</w:t>
      </w:r>
      <w:r>
        <w:rPr>
          <w:rFonts w:hint="eastAsia" w:cs="楷体"/>
          <w:b/>
          <w:bCs/>
          <w:szCs w:val="21"/>
        </w:rPr>
        <w:t>.</w:t>
      </w:r>
      <w:r>
        <w:rPr>
          <w:rFonts w:cs="楷体"/>
          <w:b/>
          <w:bCs/>
          <w:szCs w:val="21"/>
        </w:rPr>
        <w:t>4</w:t>
      </w:r>
      <w:r>
        <w:rPr>
          <w:rFonts w:hint="eastAsia" w:cs="楷体"/>
          <w:b/>
          <w:bCs/>
          <w:szCs w:val="21"/>
        </w:rPr>
        <w:t>其它要求</w:t>
      </w:r>
    </w:p>
    <w:p w14:paraId="3CE007D2">
      <w:pPr>
        <w:pStyle w:val="207"/>
        <w:numPr>
          <w:ilvl w:val="1"/>
          <w:numId w:val="9"/>
        </w:numPr>
        <w:shd w:val="clear" w:color="auto" w:fill="FFFFFF"/>
        <w:spacing w:line="600" w:lineRule="exact"/>
        <w:ind w:firstLineChars="0"/>
        <w:rPr>
          <w:rFonts w:ascii="宋体" w:hAnsi="宋体" w:cs="仿宋"/>
          <w:szCs w:val="21"/>
        </w:rPr>
      </w:pPr>
      <w:r>
        <w:rPr>
          <w:rFonts w:hint="eastAsia" w:ascii="宋体" w:hAnsi="宋体" w:cs="仿宋"/>
          <w:szCs w:val="21"/>
        </w:rPr>
        <w:t>如甲方在开展相关工作过程中，需乙方进一步完善或重新提交的，乙方应在合同规定的责任范围内无条件配合开展相关工作，直到符合要求为止。</w:t>
      </w:r>
    </w:p>
    <w:p w14:paraId="7998D88E">
      <w:pPr>
        <w:pStyle w:val="207"/>
        <w:numPr>
          <w:ilvl w:val="1"/>
          <w:numId w:val="9"/>
        </w:numPr>
        <w:shd w:val="clear" w:color="auto" w:fill="FFFFFF"/>
        <w:spacing w:line="600" w:lineRule="exact"/>
        <w:ind w:firstLineChars="0"/>
        <w:rPr>
          <w:rFonts w:ascii="宋体" w:hAnsi="宋体" w:cs="仿宋"/>
          <w:szCs w:val="21"/>
        </w:rPr>
      </w:pPr>
      <w:r>
        <w:rPr>
          <w:rFonts w:ascii="宋体" w:hAnsi="宋体" w:cs="仿宋"/>
          <w:szCs w:val="21"/>
        </w:rPr>
        <w:t>如甲方总图布置发生调整，乙方可免费为甲方提供一次重新核算评估服务，并出具纸质版评估报告提交甲方。</w:t>
      </w:r>
    </w:p>
    <w:p w14:paraId="77B8B48C">
      <w:pPr>
        <w:widowControl/>
        <w:numPr>
          <w:ilvl w:val="0"/>
          <w:numId w:val="8"/>
        </w:numPr>
        <w:tabs>
          <w:tab w:val="left" w:pos="567"/>
        </w:tabs>
        <w:autoSpaceDE/>
        <w:autoSpaceDN/>
        <w:spacing w:before="156" w:beforeLines="50" w:line="300" w:lineRule="auto"/>
        <w:ind w:left="482" w:hanging="482"/>
        <w:outlineLvl w:val="0"/>
        <w:rPr>
          <w:rFonts w:cs="楷体"/>
          <w:b/>
          <w:bCs/>
          <w:szCs w:val="21"/>
        </w:rPr>
      </w:pPr>
      <w:r>
        <w:rPr>
          <w:rFonts w:hint="eastAsia" w:cs="楷体"/>
          <w:b/>
          <w:bCs/>
          <w:szCs w:val="21"/>
        </w:rPr>
        <w:t>工期要求</w:t>
      </w:r>
    </w:p>
    <w:p w14:paraId="03F34D88">
      <w:pPr>
        <w:pStyle w:val="207"/>
        <w:widowControl/>
        <w:numPr>
          <w:ilvl w:val="0"/>
          <w:numId w:val="10"/>
        </w:numPr>
        <w:shd w:val="clear" w:color="auto" w:fill="FFFFFD"/>
        <w:tabs>
          <w:tab w:val="left" w:pos="1134"/>
        </w:tabs>
        <w:spacing w:line="600" w:lineRule="exact"/>
        <w:ind w:left="1094" w:leftChars="200" w:hanging="654" w:firstLineChars="0"/>
        <w:jc w:val="left"/>
        <w:rPr>
          <w:rFonts w:ascii="宋体" w:hAnsi="宋体"/>
          <w:szCs w:val="21"/>
        </w:rPr>
      </w:pPr>
      <w:r>
        <w:rPr>
          <w:rFonts w:hint="eastAsia" w:ascii="宋体" w:hAnsi="宋体"/>
          <w:szCs w:val="21"/>
        </w:rPr>
        <w:t>自合同签订之日起</w:t>
      </w:r>
      <w:r>
        <w:rPr>
          <w:rFonts w:ascii="宋体" w:hAnsi="宋体"/>
          <w:szCs w:val="21"/>
        </w:rPr>
        <w:t>1</w:t>
      </w:r>
      <w:r>
        <w:rPr>
          <w:rFonts w:hint="eastAsia" w:ascii="宋体" w:hAnsi="宋体"/>
          <w:szCs w:val="21"/>
        </w:rPr>
        <w:t>0日内完成建筑物抗爆评估，出具</w:t>
      </w:r>
      <w:r>
        <w:rPr>
          <w:rFonts w:hint="eastAsia"/>
        </w:rPr>
        <w:t>建筑物的抗爆设计要求评估数据，2</w:t>
      </w:r>
      <w:r>
        <w:t>0日内出具纸质版评估报告</w:t>
      </w:r>
      <w:r>
        <w:rPr>
          <w:rFonts w:hint="eastAsia"/>
        </w:rPr>
        <w:t>。</w:t>
      </w:r>
    </w:p>
    <w:p w14:paraId="27F218D3">
      <w:pPr>
        <w:widowControl/>
        <w:numPr>
          <w:ilvl w:val="0"/>
          <w:numId w:val="8"/>
        </w:numPr>
        <w:tabs>
          <w:tab w:val="left" w:pos="567"/>
        </w:tabs>
        <w:autoSpaceDE/>
        <w:autoSpaceDN/>
        <w:spacing w:before="156" w:beforeLines="50" w:line="300" w:lineRule="auto"/>
        <w:ind w:left="482" w:hanging="482"/>
        <w:outlineLvl w:val="0"/>
        <w:rPr>
          <w:rFonts w:cs="楷体"/>
          <w:b/>
          <w:bCs/>
          <w:szCs w:val="21"/>
        </w:rPr>
      </w:pPr>
      <w:r>
        <w:rPr>
          <w:rFonts w:hint="eastAsia" w:cs="楷体"/>
          <w:b/>
          <w:bCs/>
          <w:szCs w:val="21"/>
        </w:rPr>
        <w:t>文件提供要求</w:t>
      </w:r>
    </w:p>
    <w:p w14:paraId="0DAF15E5">
      <w:pPr>
        <w:pStyle w:val="207"/>
        <w:widowControl/>
        <w:numPr>
          <w:ilvl w:val="0"/>
          <w:numId w:val="11"/>
        </w:numPr>
        <w:shd w:val="clear" w:color="auto" w:fill="FFFFFD"/>
        <w:tabs>
          <w:tab w:val="left" w:pos="1134"/>
        </w:tabs>
        <w:spacing w:line="600" w:lineRule="exact"/>
        <w:ind w:firstLineChars="0"/>
        <w:jc w:val="left"/>
        <w:rPr>
          <w:rFonts w:ascii="宋体" w:hAnsi="宋体"/>
          <w:szCs w:val="21"/>
        </w:rPr>
      </w:pPr>
      <w:r>
        <w:rPr>
          <w:rFonts w:hint="eastAsia" w:ascii="宋体" w:hAnsi="宋体"/>
          <w:szCs w:val="21"/>
        </w:rPr>
        <w:t>全部成果以书面报告书及相关图件方式提交甲方使用。</w:t>
      </w:r>
    </w:p>
    <w:p w14:paraId="10E7B15C">
      <w:pPr>
        <w:pStyle w:val="207"/>
        <w:widowControl/>
        <w:numPr>
          <w:ilvl w:val="0"/>
          <w:numId w:val="11"/>
        </w:numPr>
        <w:shd w:val="clear" w:color="auto" w:fill="FFFFFD"/>
        <w:tabs>
          <w:tab w:val="left" w:pos="1134"/>
        </w:tabs>
        <w:spacing w:line="600" w:lineRule="exact"/>
        <w:ind w:firstLineChars="0"/>
        <w:jc w:val="left"/>
        <w:rPr>
          <w:rFonts w:ascii="宋体" w:hAnsi="宋体"/>
          <w:szCs w:val="21"/>
        </w:rPr>
      </w:pPr>
      <w:r>
        <w:rPr>
          <w:rFonts w:hint="eastAsia" w:ascii="宋体" w:hAnsi="宋体"/>
          <w:szCs w:val="21"/>
        </w:rPr>
        <w:t>成果的验收标准:按国家相关规程、规范和技术规定要求。</w:t>
      </w:r>
    </w:p>
    <w:p w14:paraId="238BCE9F">
      <w:pPr>
        <w:pStyle w:val="207"/>
        <w:widowControl/>
        <w:numPr>
          <w:ilvl w:val="0"/>
          <w:numId w:val="11"/>
        </w:numPr>
        <w:shd w:val="clear" w:color="auto" w:fill="FFFFFD"/>
        <w:tabs>
          <w:tab w:val="left" w:pos="1134"/>
        </w:tabs>
        <w:spacing w:line="600" w:lineRule="exact"/>
        <w:ind w:firstLineChars="0"/>
        <w:jc w:val="left"/>
        <w:rPr>
          <w:rFonts w:ascii="宋体" w:hAnsi="宋体"/>
          <w:szCs w:val="21"/>
        </w:rPr>
      </w:pPr>
      <w:r>
        <w:rPr>
          <w:rFonts w:hint="eastAsia" w:ascii="宋体" w:hAnsi="宋体"/>
          <w:szCs w:val="21"/>
        </w:rPr>
        <w:t>成果的验收方法:分析结果得到甲方及设计院认可，并出具评估报告。</w:t>
      </w:r>
    </w:p>
    <w:p w14:paraId="45826614">
      <w:pPr>
        <w:pStyle w:val="207"/>
        <w:widowControl/>
        <w:numPr>
          <w:ilvl w:val="0"/>
          <w:numId w:val="11"/>
        </w:numPr>
        <w:shd w:val="clear" w:color="auto" w:fill="FFFFFD"/>
        <w:tabs>
          <w:tab w:val="left" w:pos="1134"/>
        </w:tabs>
        <w:spacing w:line="600" w:lineRule="exact"/>
        <w:ind w:firstLineChars="0"/>
        <w:jc w:val="left"/>
        <w:rPr>
          <w:rFonts w:ascii="宋体" w:hAnsi="宋体"/>
          <w:szCs w:val="21"/>
        </w:rPr>
      </w:pPr>
      <w:r>
        <w:rPr>
          <w:rFonts w:hint="eastAsia" w:ascii="宋体" w:hAnsi="宋体"/>
          <w:szCs w:val="21"/>
        </w:rPr>
        <w:t>文件提供数量：</w:t>
      </w:r>
      <w:r>
        <w:rPr>
          <w:rFonts w:hint="eastAsia"/>
        </w:rPr>
        <w:t>签字盖章</w:t>
      </w:r>
      <w:r>
        <w:rPr>
          <w:rFonts w:hint="eastAsia" w:ascii="宋体" w:hAnsi="宋体"/>
          <w:szCs w:val="21"/>
        </w:rPr>
        <w:t>纸质报告</w:t>
      </w:r>
      <w:r>
        <w:rPr>
          <w:rFonts w:ascii="宋体" w:hAnsi="宋体"/>
          <w:szCs w:val="21"/>
        </w:rPr>
        <w:t>5</w:t>
      </w:r>
      <w:r>
        <w:rPr>
          <w:rFonts w:hint="eastAsia" w:ascii="宋体" w:hAnsi="宋体"/>
          <w:szCs w:val="21"/>
        </w:rPr>
        <w:t>份，包括WORD版（内容不设置复制等权限）、PDF版电子文档（含图件、附件)。</w:t>
      </w:r>
    </w:p>
    <w:p w14:paraId="3692EF93">
      <w:pPr>
        <w:widowControl/>
        <w:numPr>
          <w:ilvl w:val="0"/>
          <w:numId w:val="8"/>
        </w:numPr>
        <w:tabs>
          <w:tab w:val="left" w:pos="567"/>
        </w:tabs>
        <w:autoSpaceDE/>
        <w:autoSpaceDN/>
        <w:spacing w:before="156" w:beforeLines="50" w:line="300" w:lineRule="auto"/>
        <w:ind w:left="482" w:hanging="482"/>
        <w:outlineLvl w:val="0"/>
        <w:rPr>
          <w:rFonts w:cs="楷体"/>
          <w:b/>
          <w:bCs/>
          <w:szCs w:val="21"/>
        </w:rPr>
      </w:pPr>
      <w:r>
        <w:rPr>
          <w:rFonts w:hint="eastAsia" w:cs="楷体"/>
          <w:b/>
          <w:bCs/>
          <w:szCs w:val="21"/>
        </w:rPr>
        <w:t>保密</w:t>
      </w:r>
    </w:p>
    <w:p w14:paraId="3DFD99DE">
      <w:pPr>
        <w:spacing w:line="600" w:lineRule="exact"/>
        <w:ind w:firstLine="440" w:firstLineChars="200"/>
        <w:rPr>
          <w:rFonts w:hint="eastAsia"/>
          <w:szCs w:val="21"/>
          <w:lang w:eastAsia="zh-CN"/>
        </w:rPr>
      </w:pPr>
      <w:r>
        <w:rPr>
          <w:rFonts w:hint="eastAsia"/>
          <w:szCs w:val="21"/>
          <w:lang w:eastAsia="zh-CN"/>
        </w:rPr>
        <w:t>由甲方提供给乙方的文件、资料和数据，乙方应当承担保密义务，未经甲方同意，乙方不得以任何形式向第三方透露。一经完成合同中规定的工作，乙方应返还所有甲方提供的资料。</w:t>
      </w:r>
      <w:bookmarkEnd w:id="2"/>
      <w:bookmarkEnd w:id="3"/>
      <w:bookmarkEnd w:id="4"/>
      <w:bookmarkEnd w:id="5"/>
    </w:p>
    <w:p w14:paraId="4504ADB8">
      <w:pPr>
        <w:spacing w:line="600" w:lineRule="exact"/>
        <w:rPr>
          <w:rFonts w:hint="eastAsia"/>
          <w:szCs w:val="21"/>
        </w:rPr>
      </w:pPr>
      <w:r>
        <w:rPr>
          <w:rFonts w:hint="eastAsia"/>
          <w:szCs w:val="21"/>
        </w:rPr>
        <w:t>附图</w:t>
      </w:r>
    </w:p>
    <w:p w14:paraId="5F893E0A">
      <w:pPr>
        <w:spacing w:line="600" w:lineRule="exact"/>
        <w:ind w:firstLine="440" w:firstLineChars="200"/>
        <w:rPr>
          <w:szCs w:val="21"/>
        </w:rPr>
      </w:pPr>
    </w:p>
    <w:p w14:paraId="2F1DE970">
      <w:pPr>
        <w:spacing w:line="600" w:lineRule="exact"/>
        <w:ind w:firstLine="440" w:firstLineChars="200"/>
        <w:rPr>
          <w:szCs w:val="21"/>
        </w:rPr>
      </w:pPr>
    </w:p>
    <w:p w14:paraId="2991456E">
      <w:pPr>
        <w:spacing w:line="600" w:lineRule="exact"/>
        <w:ind w:firstLine="440" w:firstLineChars="200"/>
        <w:rPr>
          <w:szCs w:val="21"/>
        </w:rPr>
      </w:pPr>
    </w:p>
    <w:p w14:paraId="45215B56">
      <w:pPr>
        <w:spacing w:line="600" w:lineRule="exact"/>
        <w:ind w:firstLine="440" w:firstLineChars="200"/>
        <w:rPr>
          <w:szCs w:val="21"/>
        </w:rPr>
      </w:pPr>
    </w:p>
    <w:p w14:paraId="2BB9CBEF">
      <w:pPr>
        <w:spacing w:line="600" w:lineRule="exact"/>
        <w:ind w:firstLine="440" w:firstLineChars="200"/>
        <w:rPr>
          <w:szCs w:val="21"/>
        </w:rPr>
      </w:pPr>
    </w:p>
    <w:p w14:paraId="11D15390">
      <w:pPr>
        <w:spacing w:line="600" w:lineRule="exact"/>
        <w:ind w:firstLine="440" w:firstLineChars="200"/>
        <w:rPr>
          <w:szCs w:val="21"/>
        </w:rPr>
      </w:pPr>
    </w:p>
    <w:p w14:paraId="267F7695">
      <w:pPr>
        <w:spacing w:line="600" w:lineRule="exact"/>
        <w:ind w:firstLine="440" w:firstLineChars="200"/>
        <w:rPr>
          <w:szCs w:val="21"/>
        </w:rPr>
      </w:pPr>
    </w:p>
    <w:p w14:paraId="02F4FF9C">
      <w:pPr>
        <w:spacing w:line="600" w:lineRule="exact"/>
        <w:ind w:firstLine="440" w:firstLineChars="200"/>
        <w:rPr>
          <w:szCs w:val="21"/>
        </w:rPr>
      </w:pPr>
    </w:p>
    <w:p w14:paraId="0BFEB01C">
      <w:pPr>
        <w:spacing w:line="600" w:lineRule="exact"/>
        <w:ind w:firstLine="440" w:firstLineChars="200"/>
        <w:rPr>
          <w:rFonts w:hint="eastAsia" w:ascii="仿宋" w:hAnsi="仿宋" w:eastAsia="仿宋"/>
          <w:sz w:val="30"/>
          <w:szCs w:val="30"/>
        </w:rPr>
      </w:pPr>
      <w:r>
        <w:rPr>
          <w:lang w:eastAsia="zh-CN"/>
        </w:rPr>
        <w:drawing>
          <wp:anchor distT="0" distB="0" distL="114300" distR="114300" simplePos="0" relativeHeight="251660288" behindDoc="0" locked="0" layoutInCell="1" allowOverlap="1">
            <wp:simplePos x="0" y="0"/>
            <wp:positionH relativeFrom="column">
              <wp:posOffset>266700</wp:posOffset>
            </wp:positionH>
            <wp:positionV relativeFrom="paragraph">
              <wp:posOffset>-2765425</wp:posOffset>
            </wp:positionV>
            <wp:extent cx="5269230" cy="307022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9230" cy="3070225"/>
                    </a:xfrm>
                    <a:prstGeom prst="rect">
                      <a:avLst/>
                    </a:prstGeom>
                    <a:noFill/>
                    <a:ln>
                      <a:noFill/>
                    </a:ln>
                  </pic:spPr>
                </pic:pic>
              </a:graphicData>
            </a:graphic>
          </wp:anchor>
        </w:drawing>
      </w:r>
    </w:p>
    <w:p w14:paraId="1D9113E6">
      <w:pPr>
        <w:pStyle w:val="2"/>
      </w:pPr>
    </w:p>
    <w:p w14:paraId="61B517CC">
      <w:pPr>
        <w:pStyle w:val="2"/>
      </w:pPr>
    </w:p>
    <w:p w14:paraId="3BE0E335">
      <w:pPr>
        <w:pStyle w:val="2"/>
      </w:pPr>
    </w:p>
    <w:p w14:paraId="3D79483D">
      <w:pPr>
        <w:pStyle w:val="2"/>
        <w:rPr>
          <w:rFonts w:hint="eastAsia"/>
        </w:rPr>
      </w:pPr>
    </w:p>
    <w:p w14:paraId="29040316">
      <w:pPr>
        <w:pStyle w:val="2"/>
      </w:pPr>
    </w:p>
    <w:p w14:paraId="42CFC663">
      <w:pPr>
        <w:pStyle w:val="2"/>
        <w:rPr>
          <w:b/>
          <w:bCs/>
          <w:sz w:val="24"/>
          <w:szCs w:val="24"/>
        </w:rPr>
      </w:pPr>
      <w:r>
        <w:rPr>
          <w:rFonts w:hint="eastAsia"/>
          <w:b/>
          <w:bCs/>
          <w:sz w:val="24"/>
          <w:szCs w:val="24"/>
        </w:rPr>
        <w:t>附件二、参选文件范本</w:t>
      </w:r>
    </w:p>
    <w:p w14:paraId="37FA9111">
      <w:pPr>
        <w:pStyle w:val="25"/>
        <w:jc w:val="center"/>
        <w:rPr>
          <w:rFonts w:ascii="Times New Roman" w:hAnsi="Times New Roman"/>
          <w:b/>
          <w:sz w:val="52"/>
          <w:szCs w:val="52"/>
          <w:lang w:eastAsia="zh-CN"/>
        </w:rPr>
      </w:pPr>
    </w:p>
    <w:p w14:paraId="229C0F7F">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5"/>
        <w:spacing w:line="615" w:lineRule="exact"/>
        <w:jc w:val="center"/>
        <w:rPr>
          <w:rFonts w:ascii="方正小标宋简体" w:hAnsi="方正小标宋简体" w:eastAsia="方正小标宋简体" w:cs="方正小标宋简体"/>
          <w:b/>
          <w:sz w:val="44"/>
          <w:szCs w:val="44"/>
          <w:lang w:eastAsia="zh-CN"/>
        </w:rPr>
      </w:pPr>
    </w:p>
    <w:p w14:paraId="4177FE27">
      <w:pPr>
        <w:pStyle w:val="25"/>
        <w:spacing w:line="615" w:lineRule="exact"/>
        <w:jc w:val="center"/>
        <w:rPr>
          <w:rFonts w:ascii="方正小标宋简体" w:hAnsi="方正小标宋简体" w:eastAsia="方正小标宋简体" w:cs="方正小标宋简体"/>
          <w:b/>
          <w:sz w:val="44"/>
          <w:szCs w:val="44"/>
          <w:lang w:eastAsia="zh-CN"/>
        </w:rPr>
      </w:pPr>
    </w:p>
    <w:p w14:paraId="37BE03DD">
      <w:pPr>
        <w:spacing w:line="1000" w:lineRule="exact"/>
        <w:jc w:val="center"/>
        <w:rPr>
          <w:rFonts w:ascii="方正小标宋简体" w:hAnsi="方正小标宋简体" w:eastAsia="方正小标宋简体" w:cs="方正小标宋简体"/>
          <w:b/>
          <w:color w:val="FF0000"/>
          <w:sz w:val="44"/>
          <w:szCs w:val="44"/>
          <w:lang w:eastAsia="zh-CN"/>
        </w:rPr>
      </w:pPr>
      <w:r>
        <w:rPr>
          <w:rFonts w:ascii="方正小标宋简体" w:hAnsi="方正小标宋简体" w:eastAsia="方正小标宋简体" w:cs="方正小标宋简体"/>
          <w:b/>
          <w:color w:val="FF0000"/>
          <w:sz w:val="44"/>
          <w:szCs w:val="44"/>
          <w:lang w:eastAsia="zh-CN"/>
        </w:rPr>
        <w:t>PTA现场人员用房外部爆炸冲击波影响评估技术服务</w:t>
      </w:r>
    </w:p>
    <w:p w14:paraId="385EE69F">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2BC2371B">
      <w:pPr>
        <w:pStyle w:val="2"/>
      </w:pPr>
    </w:p>
    <w:p w14:paraId="54C8DC60">
      <w:pPr>
        <w:pStyle w:val="25"/>
        <w:rPr>
          <w:rFonts w:ascii="Times New Roman" w:hAnsi="Times New Roman"/>
          <w:lang w:eastAsia="zh-CN"/>
        </w:rPr>
      </w:pPr>
    </w:p>
    <w:p w14:paraId="38BB3959">
      <w:pPr>
        <w:pStyle w:val="25"/>
        <w:rPr>
          <w:rFonts w:ascii="Times New Roman" w:hAnsi="Times New Roman"/>
          <w:lang w:eastAsia="zh-CN"/>
        </w:rPr>
      </w:pPr>
    </w:p>
    <w:p w14:paraId="0193E972">
      <w:pPr>
        <w:pStyle w:val="25"/>
        <w:rPr>
          <w:rFonts w:ascii="Times New Roman" w:hAnsi="Times New Roman"/>
          <w:lang w:eastAsia="zh-CN"/>
        </w:rPr>
      </w:pPr>
    </w:p>
    <w:p w14:paraId="226F7349">
      <w:pPr>
        <w:pStyle w:val="25"/>
        <w:rPr>
          <w:rFonts w:ascii="Times New Roman" w:hAnsi="Times New Roman"/>
          <w:lang w:eastAsia="zh-CN"/>
        </w:rPr>
      </w:pPr>
    </w:p>
    <w:p w14:paraId="28A68C31">
      <w:pPr>
        <w:pStyle w:val="25"/>
        <w:rPr>
          <w:rFonts w:ascii="Times New Roman" w:hAnsi="Times New Roman"/>
          <w:lang w:eastAsia="zh-CN"/>
        </w:rPr>
      </w:pPr>
    </w:p>
    <w:p w14:paraId="185CFC85">
      <w:pPr>
        <w:pStyle w:val="25"/>
        <w:rPr>
          <w:rFonts w:ascii="Times New Roman" w:hAnsi="Times New Roman"/>
          <w:b/>
          <w:bCs/>
          <w:sz w:val="32"/>
          <w:szCs w:val="32"/>
          <w:lang w:eastAsia="zh-CN"/>
        </w:rPr>
      </w:pPr>
    </w:p>
    <w:p w14:paraId="42504BCD">
      <w:pPr>
        <w:pStyle w:val="25"/>
        <w:rPr>
          <w:rFonts w:ascii="Times New Roman" w:hAnsi="Times New Roman"/>
          <w:b/>
          <w:bCs/>
          <w:sz w:val="32"/>
          <w:szCs w:val="32"/>
          <w:lang w:eastAsia="zh-CN"/>
        </w:rPr>
      </w:pPr>
    </w:p>
    <w:p w14:paraId="1D78D2A0">
      <w:pPr>
        <w:pStyle w:val="25"/>
        <w:rPr>
          <w:rFonts w:ascii="Times New Roman" w:hAnsi="Times New Roman"/>
          <w:b/>
          <w:bCs/>
          <w:sz w:val="32"/>
          <w:szCs w:val="32"/>
          <w:lang w:eastAsia="zh-CN"/>
        </w:rPr>
      </w:pPr>
    </w:p>
    <w:p w14:paraId="3F350982">
      <w:pPr>
        <w:pStyle w:val="25"/>
        <w:rPr>
          <w:rFonts w:ascii="Times New Roman" w:hAnsi="Times New Roman"/>
          <w:b/>
          <w:bCs/>
          <w:sz w:val="32"/>
          <w:szCs w:val="36"/>
          <w:lang w:eastAsia="zh-CN"/>
        </w:rPr>
      </w:pPr>
    </w:p>
    <w:p w14:paraId="70BAA1B5">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24年11月</w:t>
      </w:r>
    </w:p>
    <w:p w14:paraId="53D34211">
      <w:pPr>
        <w:rPr>
          <w:lang w:eastAsia="zh-CN"/>
        </w:rPr>
      </w:pPr>
    </w:p>
    <w:p w14:paraId="6A9A7A9D">
      <w:pPr>
        <w:pStyle w:val="2"/>
      </w:pPr>
    </w:p>
    <w:p w14:paraId="435EBD37">
      <w:pPr>
        <w:pStyle w:val="2"/>
      </w:pPr>
    </w:p>
    <w:p w14:paraId="248DBB34">
      <w:pPr>
        <w:pStyle w:val="2"/>
      </w:pPr>
    </w:p>
    <w:p w14:paraId="6C5373A8">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5888F5F5">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112DED2C">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29F05EB1">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纸平装。所有参选文件应增加统一外层包封。</w:t>
      </w:r>
    </w:p>
    <w:p w14:paraId="056D7E80">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 提交参选文件封口处均需加盖骑缝章。商务参选文件和技术参选文件盖章扫描P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电子拷贝一份（随参选文件包装）。</w:t>
      </w:r>
    </w:p>
    <w:p w14:paraId="549AB1F1">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14:paraId="4DA9424B">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14:paraId="7161059E">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32217E74">
      <w:pPr>
        <w:rPr>
          <w:szCs w:val="21"/>
          <w:lang w:eastAsia="zh-CN"/>
        </w:rPr>
      </w:pPr>
      <w:r>
        <w:rPr>
          <w:rFonts w:ascii="Calibri"/>
        </w:rPr>
        <w:pict>
          <v:shape id="文本框 2" o:spid="_x0000_s1032" o:spt="202" type="#_x0000_t202" style="position:absolute;left:0pt;margin-left:5.25pt;margin-top:0.5pt;height:147.2pt;width:363.2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33920EE1">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05518C28">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247A99C6">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0E6A0019">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13927748">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74F6C178">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39692144">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14:paraId="49FCEBF3">
      <w:pPr>
        <w:rPr>
          <w:szCs w:val="21"/>
          <w:lang w:eastAsia="zh-CN"/>
        </w:rPr>
      </w:pPr>
    </w:p>
    <w:p w14:paraId="06F4B1E2">
      <w:pPr>
        <w:rPr>
          <w:szCs w:val="21"/>
          <w:lang w:eastAsia="zh-CN"/>
        </w:rPr>
      </w:pPr>
    </w:p>
    <w:p w14:paraId="7458CE17">
      <w:pPr>
        <w:rPr>
          <w:szCs w:val="21"/>
          <w:lang w:eastAsia="zh-CN"/>
        </w:rPr>
      </w:pPr>
    </w:p>
    <w:p w14:paraId="0DE741E4">
      <w:pPr>
        <w:rPr>
          <w:szCs w:val="21"/>
          <w:lang w:eastAsia="zh-CN"/>
        </w:rPr>
      </w:pPr>
    </w:p>
    <w:p w14:paraId="7BD79347">
      <w:pPr>
        <w:rPr>
          <w:szCs w:val="21"/>
          <w:lang w:eastAsia="zh-CN"/>
        </w:rPr>
      </w:pPr>
    </w:p>
    <w:p w14:paraId="183A07A0">
      <w:pPr>
        <w:rPr>
          <w:szCs w:val="21"/>
          <w:lang w:eastAsia="zh-CN"/>
        </w:rPr>
      </w:pPr>
    </w:p>
    <w:p w14:paraId="05435048">
      <w:pPr>
        <w:rPr>
          <w:szCs w:val="21"/>
          <w:lang w:eastAsia="zh-CN"/>
        </w:rPr>
      </w:pPr>
    </w:p>
    <w:p w14:paraId="026B94C1">
      <w:pPr>
        <w:pStyle w:val="72"/>
        <w:spacing w:beforeLines="0" w:afterLines="0" w:line="240" w:lineRule="auto"/>
        <w:ind w:firstLine="618" w:firstLineChars="221"/>
        <w:rPr>
          <w:rFonts w:cs="Times New Roman"/>
          <w:bCs w:val="0"/>
          <w:color w:val="C00000"/>
          <w:lang w:eastAsia="zh-CN"/>
        </w:rPr>
      </w:pPr>
    </w:p>
    <w:p w14:paraId="7436653C">
      <w:pPr>
        <w:pStyle w:val="72"/>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65D6A6AF">
      <w:pPr>
        <w:pStyle w:val="72"/>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34CFC429">
      <w:pPr>
        <w:rPr>
          <w:szCs w:val="21"/>
          <w:lang w:eastAsia="zh-CN"/>
        </w:rPr>
      </w:pPr>
    </w:p>
    <w:p w14:paraId="76C56A1A">
      <w:pPr>
        <w:pStyle w:val="2"/>
        <w:rPr>
          <w:rFonts w:hint="eastAsia"/>
        </w:rPr>
      </w:pPr>
    </w:p>
    <w:p w14:paraId="21A51CDB">
      <w:pPr>
        <w:pStyle w:val="2"/>
      </w:pPr>
    </w:p>
    <w:p w14:paraId="5650CDBB">
      <w:pPr>
        <w:pStyle w:val="2"/>
      </w:pPr>
    </w:p>
    <w:p w14:paraId="74F16668">
      <w:pPr>
        <w:pStyle w:val="2"/>
      </w:pPr>
    </w:p>
    <w:p w14:paraId="521D1B8D">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37CB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1B6CA10">
            <w:pPr>
              <w:spacing w:line="500" w:lineRule="exact"/>
              <w:jc w:val="center"/>
              <w:rPr>
                <w:b/>
                <w:bCs/>
                <w:sz w:val="24"/>
              </w:rPr>
            </w:pPr>
            <w:r>
              <w:rPr>
                <w:rFonts w:hint="eastAsia"/>
                <w:b/>
                <w:bCs/>
                <w:sz w:val="24"/>
              </w:rPr>
              <w:t>序号</w:t>
            </w:r>
          </w:p>
        </w:tc>
        <w:tc>
          <w:tcPr>
            <w:tcW w:w="6023" w:type="dxa"/>
          </w:tcPr>
          <w:p w14:paraId="1C72997D">
            <w:pPr>
              <w:spacing w:line="500" w:lineRule="exact"/>
              <w:jc w:val="center"/>
              <w:rPr>
                <w:b/>
                <w:bCs/>
                <w:sz w:val="24"/>
              </w:rPr>
            </w:pPr>
            <w:r>
              <w:rPr>
                <w:rFonts w:hint="eastAsia"/>
                <w:b/>
                <w:bCs/>
                <w:sz w:val="24"/>
              </w:rPr>
              <w:t>内容</w:t>
            </w:r>
          </w:p>
        </w:tc>
        <w:tc>
          <w:tcPr>
            <w:tcW w:w="1843" w:type="dxa"/>
          </w:tcPr>
          <w:p w14:paraId="7377036F">
            <w:pPr>
              <w:spacing w:line="500" w:lineRule="exact"/>
              <w:jc w:val="center"/>
              <w:rPr>
                <w:b/>
                <w:bCs/>
                <w:sz w:val="24"/>
              </w:rPr>
            </w:pPr>
            <w:r>
              <w:rPr>
                <w:rFonts w:hint="eastAsia"/>
                <w:b/>
                <w:bCs/>
                <w:sz w:val="24"/>
              </w:rPr>
              <w:t>页码</w:t>
            </w:r>
          </w:p>
        </w:tc>
      </w:tr>
      <w:tr w14:paraId="3E4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DBB5C3">
            <w:pPr>
              <w:spacing w:line="500" w:lineRule="exact"/>
              <w:jc w:val="center"/>
              <w:rPr>
                <w:sz w:val="24"/>
              </w:rPr>
            </w:pPr>
            <w:r>
              <w:rPr>
                <w:rFonts w:hint="eastAsia"/>
                <w:sz w:val="24"/>
              </w:rPr>
              <w:t>1</w:t>
            </w:r>
          </w:p>
        </w:tc>
        <w:tc>
          <w:tcPr>
            <w:tcW w:w="6023" w:type="dxa"/>
          </w:tcPr>
          <w:p w14:paraId="56D8C5D1">
            <w:pPr>
              <w:spacing w:line="500" w:lineRule="exact"/>
              <w:rPr>
                <w:sz w:val="24"/>
              </w:rPr>
            </w:pPr>
            <w:r>
              <w:rPr>
                <w:rFonts w:hint="eastAsia"/>
                <w:sz w:val="24"/>
              </w:rPr>
              <w:t>参选书</w:t>
            </w:r>
          </w:p>
        </w:tc>
        <w:tc>
          <w:tcPr>
            <w:tcW w:w="1843" w:type="dxa"/>
          </w:tcPr>
          <w:p w14:paraId="5529C3CF">
            <w:pPr>
              <w:spacing w:line="500" w:lineRule="exact"/>
              <w:jc w:val="center"/>
              <w:rPr>
                <w:sz w:val="24"/>
              </w:rPr>
            </w:pPr>
          </w:p>
        </w:tc>
      </w:tr>
      <w:tr w14:paraId="0264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C0D587D">
            <w:pPr>
              <w:spacing w:line="500" w:lineRule="exact"/>
              <w:jc w:val="center"/>
              <w:rPr>
                <w:sz w:val="24"/>
              </w:rPr>
            </w:pPr>
            <w:r>
              <w:rPr>
                <w:rFonts w:hint="eastAsia"/>
                <w:sz w:val="24"/>
              </w:rPr>
              <w:t>2</w:t>
            </w:r>
          </w:p>
        </w:tc>
        <w:tc>
          <w:tcPr>
            <w:tcW w:w="6023" w:type="dxa"/>
          </w:tcPr>
          <w:p w14:paraId="17087E7E">
            <w:pPr>
              <w:spacing w:line="500" w:lineRule="exact"/>
              <w:rPr>
                <w:sz w:val="24"/>
              </w:rPr>
            </w:pPr>
            <w:r>
              <w:rPr>
                <w:rFonts w:hint="eastAsia"/>
                <w:sz w:val="24"/>
              </w:rPr>
              <w:t>法定代表人授权书</w:t>
            </w:r>
          </w:p>
        </w:tc>
        <w:tc>
          <w:tcPr>
            <w:tcW w:w="1843" w:type="dxa"/>
          </w:tcPr>
          <w:p w14:paraId="3BE95B66">
            <w:pPr>
              <w:spacing w:line="500" w:lineRule="exact"/>
              <w:jc w:val="center"/>
              <w:rPr>
                <w:sz w:val="24"/>
              </w:rPr>
            </w:pPr>
          </w:p>
        </w:tc>
      </w:tr>
      <w:tr w14:paraId="0D27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9B845E7">
            <w:pPr>
              <w:spacing w:line="500" w:lineRule="exact"/>
              <w:jc w:val="center"/>
              <w:rPr>
                <w:sz w:val="24"/>
              </w:rPr>
            </w:pPr>
            <w:r>
              <w:rPr>
                <w:rFonts w:hint="eastAsia"/>
                <w:sz w:val="24"/>
              </w:rPr>
              <w:t>3</w:t>
            </w:r>
          </w:p>
        </w:tc>
        <w:tc>
          <w:tcPr>
            <w:tcW w:w="6023" w:type="dxa"/>
          </w:tcPr>
          <w:p w14:paraId="0D5EA443">
            <w:pPr>
              <w:spacing w:line="500" w:lineRule="exact"/>
              <w:rPr>
                <w:sz w:val="24"/>
                <w:lang w:eastAsia="zh-CN"/>
              </w:rPr>
            </w:pPr>
            <w:r>
              <w:rPr>
                <w:rFonts w:hint="eastAsia"/>
                <w:sz w:val="24"/>
                <w:lang w:eastAsia="zh-CN"/>
              </w:rPr>
              <w:t>法定代表人身份证复印件</w:t>
            </w:r>
          </w:p>
        </w:tc>
        <w:tc>
          <w:tcPr>
            <w:tcW w:w="1843" w:type="dxa"/>
          </w:tcPr>
          <w:p w14:paraId="02D053B1">
            <w:pPr>
              <w:spacing w:line="500" w:lineRule="exact"/>
              <w:jc w:val="center"/>
              <w:rPr>
                <w:sz w:val="24"/>
                <w:lang w:eastAsia="zh-CN"/>
              </w:rPr>
            </w:pPr>
          </w:p>
        </w:tc>
      </w:tr>
      <w:tr w14:paraId="63F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C9B6E3E">
            <w:pPr>
              <w:spacing w:line="500" w:lineRule="exact"/>
              <w:jc w:val="center"/>
              <w:rPr>
                <w:sz w:val="24"/>
              </w:rPr>
            </w:pPr>
            <w:r>
              <w:rPr>
                <w:rFonts w:hint="eastAsia"/>
                <w:sz w:val="24"/>
              </w:rPr>
              <w:t>4</w:t>
            </w:r>
          </w:p>
        </w:tc>
        <w:tc>
          <w:tcPr>
            <w:tcW w:w="6023" w:type="dxa"/>
          </w:tcPr>
          <w:p w14:paraId="31E108BF">
            <w:pPr>
              <w:spacing w:line="500" w:lineRule="exact"/>
              <w:rPr>
                <w:sz w:val="24"/>
                <w:lang w:eastAsia="zh-CN"/>
              </w:rPr>
            </w:pPr>
            <w:r>
              <w:rPr>
                <w:rFonts w:hint="eastAsia"/>
                <w:sz w:val="24"/>
                <w:lang w:eastAsia="zh-CN"/>
              </w:rPr>
              <w:t>授权代表身份证复印件</w:t>
            </w:r>
          </w:p>
        </w:tc>
        <w:tc>
          <w:tcPr>
            <w:tcW w:w="1843" w:type="dxa"/>
          </w:tcPr>
          <w:p w14:paraId="211955D7">
            <w:pPr>
              <w:spacing w:line="500" w:lineRule="exact"/>
              <w:jc w:val="center"/>
              <w:rPr>
                <w:sz w:val="24"/>
                <w:lang w:eastAsia="zh-CN"/>
              </w:rPr>
            </w:pPr>
          </w:p>
        </w:tc>
      </w:tr>
      <w:tr w14:paraId="77F5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200D608">
            <w:pPr>
              <w:spacing w:line="500" w:lineRule="exact"/>
              <w:jc w:val="center"/>
              <w:rPr>
                <w:sz w:val="24"/>
              </w:rPr>
            </w:pPr>
            <w:r>
              <w:rPr>
                <w:rFonts w:hint="eastAsia"/>
                <w:sz w:val="24"/>
              </w:rPr>
              <w:t>5</w:t>
            </w:r>
          </w:p>
        </w:tc>
        <w:tc>
          <w:tcPr>
            <w:tcW w:w="6023" w:type="dxa"/>
          </w:tcPr>
          <w:p w14:paraId="351FD2EA">
            <w:pPr>
              <w:spacing w:line="500" w:lineRule="exact"/>
              <w:rPr>
                <w:sz w:val="24"/>
                <w:lang w:eastAsia="zh-CN"/>
              </w:rPr>
            </w:pPr>
            <w:r>
              <w:rPr>
                <w:rFonts w:hint="eastAsia"/>
                <w:sz w:val="24"/>
                <w:szCs w:val="28"/>
                <w:lang w:eastAsia="zh-CN"/>
              </w:rPr>
              <w:t>企业概况</w:t>
            </w:r>
          </w:p>
        </w:tc>
        <w:tc>
          <w:tcPr>
            <w:tcW w:w="1843" w:type="dxa"/>
          </w:tcPr>
          <w:p w14:paraId="20EB24F7">
            <w:pPr>
              <w:spacing w:line="500" w:lineRule="exact"/>
              <w:jc w:val="center"/>
              <w:rPr>
                <w:sz w:val="24"/>
                <w:lang w:eastAsia="zh-CN"/>
              </w:rPr>
            </w:pPr>
          </w:p>
        </w:tc>
      </w:tr>
      <w:tr w14:paraId="1000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D1C8F6F">
            <w:pPr>
              <w:spacing w:line="500" w:lineRule="exact"/>
              <w:jc w:val="center"/>
              <w:rPr>
                <w:sz w:val="24"/>
              </w:rPr>
            </w:pPr>
            <w:r>
              <w:rPr>
                <w:rFonts w:hint="eastAsia"/>
                <w:sz w:val="24"/>
              </w:rPr>
              <w:t>6</w:t>
            </w:r>
          </w:p>
        </w:tc>
        <w:tc>
          <w:tcPr>
            <w:tcW w:w="6023" w:type="dxa"/>
          </w:tcPr>
          <w:p w14:paraId="3BB760ED">
            <w:pPr>
              <w:spacing w:line="500" w:lineRule="exact"/>
              <w:rPr>
                <w:sz w:val="24"/>
              </w:rPr>
            </w:pPr>
            <w:r>
              <w:rPr>
                <w:rFonts w:hint="eastAsia"/>
                <w:sz w:val="24"/>
              </w:rPr>
              <w:t>营业执照复印件</w:t>
            </w:r>
          </w:p>
        </w:tc>
        <w:tc>
          <w:tcPr>
            <w:tcW w:w="1843" w:type="dxa"/>
          </w:tcPr>
          <w:p w14:paraId="050E4881">
            <w:pPr>
              <w:spacing w:line="500" w:lineRule="exact"/>
              <w:jc w:val="center"/>
              <w:rPr>
                <w:sz w:val="24"/>
              </w:rPr>
            </w:pPr>
          </w:p>
        </w:tc>
      </w:tr>
      <w:tr w14:paraId="6A7D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495B0E4">
            <w:pPr>
              <w:spacing w:line="500" w:lineRule="exact"/>
              <w:jc w:val="center"/>
              <w:rPr>
                <w:sz w:val="24"/>
              </w:rPr>
            </w:pPr>
            <w:r>
              <w:rPr>
                <w:rFonts w:hint="eastAsia"/>
                <w:sz w:val="24"/>
              </w:rPr>
              <w:t>7</w:t>
            </w:r>
          </w:p>
        </w:tc>
        <w:tc>
          <w:tcPr>
            <w:tcW w:w="6023" w:type="dxa"/>
          </w:tcPr>
          <w:p w14:paraId="2DB01DE1">
            <w:pPr>
              <w:spacing w:line="500" w:lineRule="exact"/>
              <w:rPr>
                <w:sz w:val="24"/>
                <w:lang w:eastAsia="zh-CN"/>
              </w:rPr>
            </w:pPr>
            <w:r>
              <w:rPr>
                <w:rFonts w:hint="eastAsia"/>
                <w:sz w:val="24"/>
              </w:rPr>
              <w:t>资质</w:t>
            </w:r>
            <w:r>
              <w:rPr>
                <w:rFonts w:hint="eastAsia"/>
                <w:sz w:val="24"/>
                <w:lang w:eastAsia="zh-CN"/>
              </w:rPr>
              <w:t>文件</w:t>
            </w:r>
          </w:p>
        </w:tc>
        <w:tc>
          <w:tcPr>
            <w:tcW w:w="1843" w:type="dxa"/>
          </w:tcPr>
          <w:p w14:paraId="58770EBD">
            <w:pPr>
              <w:spacing w:line="500" w:lineRule="exact"/>
              <w:jc w:val="center"/>
              <w:rPr>
                <w:sz w:val="24"/>
              </w:rPr>
            </w:pPr>
          </w:p>
        </w:tc>
      </w:tr>
      <w:tr w14:paraId="309E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2EE545A">
            <w:pPr>
              <w:spacing w:line="500" w:lineRule="exact"/>
              <w:jc w:val="center"/>
              <w:rPr>
                <w:sz w:val="24"/>
                <w:lang w:eastAsia="zh-CN"/>
              </w:rPr>
            </w:pPr>
            <w:r>
              <w:rPr>
                <w:rFonts w:hint="eastAsia"/>
                <w:sz w:val="24"/>
                <w:lang w:eastAsia="zh-CN"/>
              </w:rPr>
              <w:t>8</w:t>
            </w:r>
          </w:p>
        </w:tc>
        <w:tc>
          <w:tcPr>
            <w:tcW w:w="6023" w:type="dxa"/>
          </w:tcPr>
          <w:p w14:paraId="6C26E074">
            <w:pPr>
              <w:spacing w:line="500" w:lineRule="exact"/>
              <w:rPr>
                <w:sz w:val="24"/>
                <w:lang w:eastAsia="zh-CN"/>
              </w:rPr>
            </w:pPr>
            <w:r>
              <w:rPr>
                <w:rFonts w:hint="eastAsia"/>
                <w:lang w:eastAsia="zh-CN"/>
              </w:rPr>
              <w:t>项目人员简历及相关资格证书。</w:t>
            </w:r>
          </w:p>
        </w:tc>
        <w:tc>
          <w:tcPr>
            <w:tcW w:w="1843" w:type="dxa"/>
          </w:tcPr>
          <w:p w14:paraId="2A7DA13A">
            <w:pPr>
              <w:spacing w:line="500" w:lineRule="exact"/>
              <w:jc w:val="center"/>
              <w:rPr>
                <w:sz w:val="24"/>
                <w:lang w:eastAsia="zh-CN"/>
              </w:rPr>
            </w:pPr>
          </w:p>
        </w:tc>
      </w:tr>
      <w:tr w14:paraId="0462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D25282A">
            <w:pPr>
              <w:spacing w:line="500" w:lineRule="exact"/>
              <w:jc w:val="center"/>
              <w:rPr>
                <w:sz w:val="24"/>
                <w:lang w:eastAsia="zh-CN"/>
              </w:rPr>
            </w:pPr>
            <w:r>
              <w:rPr>
                <w:sz w:val="24"/>
                <w:lang w:eastAsia="zh-CN"/>
              </w:rPr>
              <w:t>9</w:t>
            </w:r>
          </w:p>
        </w:tc>
        <w:tc>
          <w:tcPr>
            <w:tcW w:w="6023" w:type="dxa"/>
          </w:tcPr>
          <w:p w14:paraId="7582B795">
            <w:pPr>
              <w:spacing w:line="500" w:lineRule="exact"/>
              <w:rPr>
                <w:sz w:val="24"/>
              </w:rPr>
            </w:pPr>
            <w:r>
              <w:rPr>
                <w:rFonts w:hint="eastAsia"/>
                <w:sz w:val="24"/>
                <w:szCs w:val="28"/>
              </w:rPr>
              <w:t>业绩的证明</w:t>
            </w:r>
          </w:p>
        </w:tc>
        <w:tc>
          <w:tcPr>
            <w:tcW w:w="1843" w:type="dxa"/>
          </w:tcPr>
          <w:p w14:paraId="32C9D7A6">
            <w:pPr>
              <w:spacing w:line="500" w:lineRule="exact"/>
              <w:jc w:val="center"/>
              <w:rPr>
                <w:sz w:val="24"/>
              </w:rPr>
            </w:pPr>
          </w:p>
        </w:tc>
      </w:tr>
      <w:tr w14:paraId="08D2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E52C137">
            <w:pPr>
              <w:spacing w:line="500" w:lineRule="exact"/>
              <w:jc w:val="center"/>
              <w:rPr>
                <w:sz w:val="24"/>
                <w:lang w:eastAsia="zh-CN"/>
              </w:rPr>
            </w:pPr>
            <w:r>
              <w:rPr>
                <w:sz w:val="24"/>
                <w:lang w:eastAsia="zh-CN"/>
              </w:rPr>
              <w:t>10</w:t>
            </w:r>
          </w:p>
        </w:tc>
        <w:tc>
          <w:tcPr>
            <w:tcW w:w="6023" w:type="dxa"/>
          </w:tcPr>
          <w:p w14:paraId="27CB4A8D">
            <w:pPr>
              <w:spacing w:line="500" w:lineRule="exact"/>
              <w:rPr>
                <w:sz w:val="24"/>
                <w:szCs w:val="28"/>
              </w:rPr>
            </w:pPr>
            <w:r>
              <w:rPr>
                <w:rFonts w:hint="eastAsia"/>
                <w:sz w:val="24"/>
                <w:szCs w:val="28"/>
                <w:lang w:eastAsia="zh-CN"/>
              </w:rPr>
              <w:t>项目</w:t>
            </w:r>
            <w:r>
              <w:rPr>
                <w:rFonts w:hint="eastAsia"/>
                <w:sz w:val="24"/>
                <w:szCs w:val="28"/>
              </w:rPr>
              <w:t>方案</w:t>
            </w:r>
          </w:p>
        </w:tc>
        <w:tc>
          <w:tcPr>
            <w:tcW w:w="1843" w:type="dxa"/>
          </w:tcPr>
          <w:p w14:paraId="3CF7C875">
            <w:pPr>
              <w:spacing w:line="500" w:lineRule="exact"/>
              <w:jc w:val="center"/>
              <w:rPr>
                <w:sz w:val="24"/>
              </w:rPr>
            </w:pPr>
          </w:p>
        </w:tc>
      </w:tr>
      <w:tr w14:paraId="1008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43CBE46">
            <w:pPr>
              <w:spacing w:line="500" w:lineRule="exact"/>
              <w:jc w:val="center"/>
              <w:rPr>
                <w:sz w:val="24"/>
                <w:lang w:eastAsia="zh-CN"/>
              </w:rPr>
            </w:pPr>
            <w:r>
              <w:rPr>
                <w:sz w:val="24"/>
                <w:lang w:eastAsia="zh-CN"/>
              </w:rPr>
              <w:t>11</w:t>
            </w:r>
          </w:p>
        </w:tc>
        <w:tc>
          <w:tcPr>
            <w:tcW w:w="6023" w:type="dxa"/>
          </w:tcPr>
          <w:p w14:paraId="095C76F9">
            <w:pPr>
              <w:spacing w:line="500" w:lineRule="exact"/>
              <w:rPr>
                <w:sz w:val="24"/>
              </w:rPr>
            </w:pPr>
            <w:r>
              <w:rPr>
                <w:rFonts w:hint="eastAsia"/>
                <w:sz w:val="24"/>
              </w:rPr>
              <w:t>参选报价单</w:t>
            </w:r>
          </w:p>
        </w:tc>
        <w:tc>
          <w:tcPr>
            <w:tcW w:w="1843" w:type="dxa"/>
          </w:tcPr>
          <w:p w14:paraId="3B4CE561">
            <w:pPr>
              <w:spacing w:line="500" w:lineRule="exact"/>
              <w:jc w:val="center"/>
              <w:rPr>
                <w:sz w:val="24"/>
              </w:rPr>
            </w:pPr>
          </w:p>
        </w:tc>
      </w:tr>
    </w:tbl>
    <w:p w14:paraId="34F76B7F">
      <w:pPr>
        <w:spacing w:line="500" w:lineRule="exact"/>
        <w:jc w:val="center"/>
        <w:rPr>
          <w:b/>
          <w:bCs/>
          <w:sz w:val="24"/>
        </w:rPr>
      </w:pPr>
    </w:p>
    <w:p w14:paraId="12E3C699">
      <w:pPr>
        <w:pStyle w:val="2"/>
        <w:rPr>
          <w:b/>
          <w:bCs/>
          <w:sz w:val="36"/>
          <w:szCs w:val="36"/>
        </w:rPr>
      </w:pPr>
    </w:p>
    <w:p w14:paraId="47469ECB">
      <w:pPr>
        <w:pStyle w:val="2"/>
        <w:rPr>
          <w:b/>
          <w:bCs/>
          <w:sz w:val="36"/>
          <w:szCs w:val="36"/>
        </w:rPr>
      </w:pPr>
    </w:p>
    <w:p w14:paraId="7B46A8F6">
      <w:pPr>
        <w:pStyle w:val="2"/>
        <w:rPr>
          <w:b/>
          <w:bCs/>
          <w:sz w:val="36"/>
          <w:szCs w:val="36"/>
        </w:rPr>
      </w:pPr>
    </w:p>
    <w:p w14:paraId="60CCCFB0">
      <w:pPr>
        <w:spacing w:line="500" w:lineRule="exact"/>
        <w:rPr>
          <w:b/>
          <w:bCs/>
          <w:sz w:val="36"/>
          <w:szCs w:val="36"/>
          <w:lang w:eastAsia="zh-CN"/>
        </w:rPr>
      </w:pPr>
    </w:p>
    <w:p w14:paraId="2C48898D">
      <w:pPr>
        <w:pStyle w:val="2"/>
        <w:rPr>
          <w:b/>
          <w:bCs/>
          <w:sz w:val="36"/>
          <w:szCs w:val="36"/>
        </w:rPr>
      </w:pPr>
    </w:p>
    <w:p w14:paraId="75D1AE4D">
      <w:pPr>
        <w:pStyle w:val="2"/>
        <w:rPr>
          <w:b/>
          <w:bCs/>
          <w:sz w:val="36"/>
          <w:szCs w:val="36"/>
        </w:rPr>
      </w:pPr>
    </w:p>
    <w:p w14:paraId="0818B623">
      <w:pPr>
        <w:pStyle w:val="2"/>
      </w:pPr>
    </w:p>
    <w:p w14:paraId="3710216D">
      <w:pPr>
        <w:pStyle w:val="2"/>
      </w:pPr>
    </w:p>
    <w:p w14:paraId="00DF1BBB">
      <w:pPr>
        <w:pStyle w:val="2"/>
      </w:pPr>
    </w:p>
    <w:p w14:paraId="0D347C81">
      <w:pPr>
        <w:pStyle w:val="2"/>
      </w:pPr>
    </w:p>
    <w:p w14:paraId="31991CCF">
      <w:pPr>
        <w:pStyle w:val="2"/>
        <w:rPr>
          <w:rFonts w:hint="eastAsia"/>
        </w:rPr>
      </w:pPr>
    </w:p>
    <w:p w14:paraId="0A379334">
      <w:pPr>
        <w:spacing w:line="500" w:lineRule="exact"/>
        <w:jc w:val="center"/>
        <w:rPr>
          <w:b/>
          <w:bCs/>
          <w:sz w:val="36"/>
          <w:szCs w:val="36"/>
        </w:rPr>
      </w:pPr>
      <w:r>
        <w:rPr>
          <w:rFonts w:hint="eastAsia"/>
          <w:b/>
          <w:bCs/>
          <w:sz w:val="36"/>
          <w:szCs w:val="36"/>
        </w:rPr>
        <w:t>参选书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（1）参选文件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（3）参选报价单</w:t>
      </w:r>
    </w:p>
    <w:p w14:paraId="529BAEF0">
      <w:pPr>
        <w:spacing w:line="500" w:lineRule="exact"/>
        <w:ind w:firstLine="480" w:firstLineChars="200"/>
        <w:rPr>
          <w:sz w:val="24"/>
          <w:lang w:eastAsia="zh-CN"/>
        </w:rPr>
      </w:pPr>
      <w:r>
        <w:rPr>
          <w:rFonts w:hint="eastAsia"/>
          <w:sz w:val="24"/>
          <w:lang w:eastAsia="zh-CN"/>
        </w:rPr>
        <w:t xml:space="preserve"> 据此参选书，我公司及签字代表宣布同意如下：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56602E6E">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2"/>
      </w:pPr>
    </w:p>
    <w:p w14:paraId="2D9283E2">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68DA38FC">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2"/>
        <w:jc w:val="center"/>
      </w:pPr>
    </w:p>
    <w:p w14:paraId="39BC4322">
      <w:pPr>
        <w:pStyle w:val="2"/>
        <w:jc w:val="center"/>
      </w:pPr>
    </w:p>
    <w:p w14:paraId="066842E7">
      <w:pPr>
        <w:pStyle w:val="2"/>
        <w:jc w:val="center"/>
      </w:pPr>
    </w:p>
    <w:p w14:paraId="68DB3955">
      <w:pPr>
        <w:pStyle w:val="2"/>
        <w:jc w:val="center"/>
      </w:pPr>
    </w:p>
    <w:p w14:paraId="3D337288">
      <w:pPr>
        <w:pStyle w:val="2"/>
        <w:jc w:val="center"/>
      </w:pPr>
    </w:p>
    <w:p w14:paraId="79BDA086">
      <w:pPr>
        <w:spacing w:line="500" w:lineRule="exact"/>
        <w:jc w:val="both"/>
        <w:rPr>
          <w:b/>
          <w:bCs/>
          <w:sz w:val="36"/>
          <w:szCs w:val="36"/>
          <w:lang w:eastAsia="zh-CN"/>
        </w:rP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2"/>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w:t>
      </w:r>
      <w:r>
        <w:rPr>
          <w:sz w:val="24"/>
          <w:lang w:eastAsia="zh-CN"/>
        </w:rPr>
        <w:t>PTA现场人员用房外部爆炸冲击波影响评估技术服务</w:t>
      </w:r>
      <w:r>
        <w:rPr>
          <w:rFonts w:hint="eastAsia"/>
          <w:sz w:val="24"/>
          <w:lang w:eastAsia="zh-CN"/>
        </w:rPr>
        <w:t>公开自主比选，以本公司名义参与报价、合同执行并处理与之有关的其他事务，相关责任及后果由本公司承担。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24</w:t>
      </w:r>
      <w:r>
        <w:rPr>
          <w:rFonts w:hint="eastAsia" w:cs="Times New Roman"/>
          <w:color w:val="00B050"/>
          <w:sz w:val="28"/>
          <w:szCs w:val="28"/>
          <w:u w:val="single"/>
          <w:lang w:eastAsia="zh-CN"/>
        </w:rPr>
        <w:t>年</w:t>
      </w:r>
      <w:r>
        <w:rPr>
          <w:rFonts w:cs="Times New Roman"/>
          <w:color w:val="00B050"/>
          <w:sz w:val="28"/>
          <w:szCs w:val="28"/>
          <w:u w:val="single"/>
          <w:lang w:eastAsia="zh-CN"/>
        </w:rPr>
        <w:t>11</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2"/>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2"/>
      </w:pPr>
    </w:p>
    <w:p w14:paraId="4A7A6043">
      <w:pPr>
        <w:pStyle w:val="2"/>
      </w:pPr>
    </w:p>
    <w:p w14:paraId="53CBD1E4">
      <w:pPr>
        <w:pStyle w:val="2"/>
      </w:pPr>
    </w:p>
    <w:p w14:paraId="4D3FF2B7">
      <w:pPr>
        <w:pStyle w:val="2"/>
      </w:pPr>
    </w:p>
    <w:p w14:paraId="294F3CFC">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2"/>
        <w:jc w:val="center"/>
        <w:rPr>
          <w:color w:val="4E6127"/>
        </w:rPr>
      </w:pPr>
    </w:p>
    <w:p w14:paraId="2F57EEC8">
      <w:pPr>
        <w:pStyle w:val="2"/>
        <w:jc w:val="center"/>
      </w:pPr>
    </w:p>
    <w:p w14:paraId="5B702F78">
      <w:pPr>
        <w:pStyle w:val="2"/>
        <w:jc w:val="center"/>
      </w:pPr>
    </w:p>
    <w:p w14:paraId="79D9ED00">
      <w:pPr>
        <w:pStyle w:val="2"/>
        <w:jc w:val="center"/>
      </w:pPr>
    </w:p>
    <w:p w14:paraId="3866141C">
      <w:pPr>
        <w:pStyle w:val="2"/>
        <w:jc w:val="center"/>
      </w:pPr>
    </w:p>
    <w:p w14:paraId="3F1E3A6F">
      <w:pPr>
        <w:pStyle w:val="2"/>
        <w:jc w:val="cente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2"/>
        <w:rPr>
          <w:b/>
          <w:bCs/>
          <w:color w:val="4E6127"/>
          <w:sz w:val="36"/>
          <w:szCs w:val="36"/>
        </w:rPr>
      </w:pPr>
    </w:p>
    <w:p w14:paraId="79261888">
      <w:pPr>
        <w:pStyle w:val="2"/>
        <w:rPr>
          <w:b/>
          <w:bCs/>
          <w:color w:val="4E6127"/>
          <w:sz w:val="36"/>
          <w:szCs w:val="36"/>
        </w:rPr>
      </w:pPr>
    </w:p>
    <w:p w14:paraId="4588254C">
      <w:pPr>
        <w:pStyle w:val="2"/>
        <w:rPr>
          <w:b/>
          <w:bCs/>
          <w:color w:val="4E6127"/>
          <w:sz w:val="36"/>
          <w:szCs w:val="36"/>
        </w:rPr>
      </w:pPr>
    </w:p>
    <w:p w14:paraId="130BB33F">
      <w:pPr>
        <w:pStyle w:val="2"/>
        <w:rPr>
          <w:b/>
          <w:bCs/>
          <w:color w:val="4E6127"/>
          <w:sz w:val="36"/>
          <w:szCs w:val="36"/>
        </w:rPr>
      </w:pPr>
    </w:p>
    <w:p w14:paraId="42E83B2C">
      <w:pPr>
        <w:pStyle w:val="7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95884EC">
      <w:pPr>
        <w:pStyle w:val="2"/>
        <w:rPr>
          <w:b/>
          <w:bCs/>
          <w:sz w:val="36"/>
          <w:szCs w:val="36"/>
        </w:rPr>
      </w:pPr>
    </w:p>
    <w:p w14:paraId="33F04666">
      <w:pPr>
        <w:pStyle w:val="2"/>
        <w:rPr>
          <w:b/>
          <w:bCs/>
          <w:sz w:val="36"/>
          <w:szCs w:val="36"/>
        </w:rPr>
      </w:pPr>
    </w:p>
    <w:p w14:paraId="23C989C7">
      <w:pPr>
        <w:pStyle w:val="7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2"/>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2"/>
        <w:jc w:val="center"/>
        <w:rPr>
          <w:color w:val="FF0000"/>
        </w:rPr>
      </w:pPr>
    </w:p>
    <w:p w14:paraId="71BD34CF">
      <w:pPr>
        <w:pStyle w:val="2"/>
        <w:jc w:val="center"/>
      </w:pPr>
    </w:p>
    <w:p w14:paraId="029FD09B">
      <w:pPr>
        <w:pStyle w:val="2"/>
        <w:jc w:val="center"/>
      </w:pPr>
    </w:p>
    <w:p w14:paraId="481270E6">
      <w:pPr>
        <w:pStyle w:val="2"/>
        <w:jc w:val="center"/>
      </w:pPr>
    </w:p>
    <w:p w14:paraId="0681EFF1">
      <w:pPr>
        <w:pStyle w:val="2"/>
        <w:jc w:val="center"/>
      </w:pPr>
    </w:p>
    <w:p w14:paraId="41DEA680">
      <w:pPr>
        <w:pStyle w:val="2"/>
        <w:jc w:val="center"/>
      </w:pPr>
    </w:p>
    <w:p w14:paraId="15A64DF3">
      <w:pPr>
        <w:pStyle w:val="2"/>
        <w:jc w:val="center"/>
      </w:pPr>
    </w:p>
    <w:p w14:paraId="280927C3">
      <w:pPr>
        <w:pStyle w:val="2"/>
        <w:jc w:val="center"/>
      </w:pPr>
    </w:p>
    <w:p w14:paraId="02473E6F">
      <w:pPr>
        <w:pStyle w:val="2"/>
        <w:jc w:val="center"/>
      </w:pPr>
    </w:p>
    <w:p w14:paraId="0232CC98">
      <w:pPr>
        <w:pStyle w:val="2"/>
        <w:jc w:val="center"/>
      </w:pPr>
    </w:p>
    <w:p w14:paraId="71DF9366">
      <w:pPr>
        <w:pStyle w:val="2"/>
        <w:jc w:val="center"/>
      </w:pPr>
    </w:p>
    <w:p w14:paraId="29269907">
      <w:pPr>
        <w:pStyle w:val="2"/>
        <w:jc w:val="center"/>
      </w:pPr>
    </w:p>
    <w:p w14:paraId="48C95FCF">
      <w:pPr>
        <w:pStyle w:val="2"/>
        <w:jc w:val="center"/>
      </w:pPr>
    </w:p>
    <w:p w14:paraId="706D5FDD">
      <w:pPr>
        <w:pStyle w:val="2"/>
        <w:jc w:val="center"/>
      </w:pPr>
    </w:p>
    <w:p w14:paraId="2F038F0E">
      <w:pPr>
        <w:pStyle w:val="2"/>
        <w:jc w:val="center"/>
      </w:pPr>
    </w:p>
    <w:p w14:paraId="3693E9F9">
      <w:pPr>
        <w:pStyle w:val="2"/>
        <w:jc w:val="center"/>
      </w:pPr>
    </w:p>
    <w:p w14:paraId="6383BFC9">
      <w:pPr>
        <w:pStyle w:val="2"/>
        <w:jc w:val="center"/>
      </w:pPr>
    </w:p>
    <w:p w14:paraId="5061630D">
      <w:pPr>
        <w:pStyle w:val="2"/>
        <w:jc w:val="center"/>
      </w:pPr>
    </w:p>
    <w:p w14:paraId="4321CC2E">
      <w:pPr>
        <w:pStyle w:val="2"/>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b/>
          <w:bCs/>
          <w:sz w:val="36"/>
          <w:szCs w:val="36"/>
          <w:lang w:eastAsia="zh-CN"/>
        </w:rPr>
      </w:pPr>
      <w:r>
        <w:rPr>
          <w:rFonts w:hint="eastAsia"/>
          <w:b/>
          <w:bCs/>
          <w:sz w:val="36"/>
          <w:szCs w:val="36"/>
          <w:lang w:eastAsia="zh-CN"/>
        </w:rPr>
        <w:t>营业执照复印件</w:t>
      </w:r>
    </w:p>
    <w:p w14:paraId="547E47EE">
      <w:pPr>
        <w:pStyle w:val="2"/>
        <w:jc w:val="center"/>
      </w:pPr>
    </w:p>
    <w:p w14:paraId="0B9A4F61">
      <w:pPr>
        <w:pStyle w:val="2"/>
        <w:jc w:val="center"/>
      </w:pPr>
    </w:p>
    <w:p w14:paraId="39E3EE84">
      <w:pPr>
        <w:pStyle w:val="2"/>
        <w:jc w:val="center"/>
      </w:pPr>
    </w:p>
    <w:p w14:paraId="78421338">
      <w:pPr>
        <w:pStyle w:val="2"/>
        <w:jc w:val="center"/>
      </w:pPr>
    </w:p>
    <w:p w14:paraId="19E8404F">
      <w:pPr>
        <w:pStyle w:val="2"/>
        <w:jc w:val="center"/>
      </w:pPr>
    </w:p>
    <w:p w14:paraId="7DF7DF00">
      <w:pPr>
        <w:pStyle w:val="2"/>
        <w:jc w:val="center"/>
      </w:pPr>
    </w:p>
    <w:p w14:paraId="29330E12">
      <w:pPr>
        <w:pStyle w:val="2"/>
        <w:jc w:val="center"/>
      </w:pPr>
    </w:p>
    <w:p w14:paraId="26AF80D0">
      <w:pPr>
        <w:pStyle w:val="2"/>
        <w:jc w:val="center"/>
      </w:pPr>
    </w:p>
    <w:p w14:paraId="35ED6ED9">
      <w:pPr>
        <w:pStyle w:val="2"/>
        <w:jc w:val="center"/>
      </w:pPr>
    </w:p>
    <w:p w14:paraId="70C25904">
      <w:pPr>
        <w:pStyle w:val="2"/>
        <w:jc w:val="center"/>
      </w:pPr>
    </w:p>
    <w:p w14:paraId="6ADDD4A7">
      <w:pPr>
        <w:pStyle w:val="2"/>
        <w:jc w:val="center"/>
      </w:pPr>
    </w:p>
    <w:p w14:paraId="5B340194">
      <w:pPr>
        <w:pStyle w:val="2"/>
        <w:jc w:val="center"/>
      </w:pPr>
    </w:p>
    <w:p w14:paraId="752D6ECB">
      <w:pPr>
        <w:pStyle w:val="2"/>
        <w:jc w:val="center"/>
      </w:pPr>
    </w:p>
    <w:p w14:paraId="6B004E64">
      <w:pPr>
        <w:pStyle w:val="2"/>
        <w:jc w:val="center"/>
      </w:pPr>
    </w:p>
    <w:p w14:paraId="05CC3ADB">
      <w:pPr>
        <w:pStyle w:val="2"/>
        <w:jc w:val="center"/>
      </w:pPr>
    </w:p>
    <w:p w14:paraId="06FAA606">
      <w:pPr>
        <w:pStyle w:val="2"/>
        <w:jc w:val="center"/>
      </w:pPr>
    </w:p>
    <w:p w14:paraId="58BFEC13">
      <w:pPr>
        <w:pStyle w:val="2"/>
        <w:jc w:val="center"/>
      </w:pPr>
    </w:p>
    <w:p w14:paraId="55D08212">
      <w:pPr>
        <w:pStyle w:val="2"/>
        <w:jc w:val="center"/>
      </w:pPr>
    </w:p>
    <w:p w14:paraId="3B1ADF54">
      <w:pPr>
        <w:pStyle w:val="2"/>
        <w:jc w:val="center"/>
      </w:pPr>
    </w:p>
    <w:p w14:paraId="10F67DD9">
      <w:pPr>
        <w:pStyle w:val="2"/>
      </w:pPr>
    </w:p>
    <w:p w14:paraId="5B46A9A0">
      <w:pPr>
        <w:pStyle w:val="2"/>
        <w:jc w:val="center"/>
        <w:rPr>
          <w:rFonts w:ascii="Times New Roman" w:hAnsi="Times New Roman"/>
          <w:b/>
          <w:bCs/>
          <w:kern w:val="2"/>
          <w:sz w:val="36"/>
          <w:szCs w:val="36"/>
        </w:rPr>
      </w:pPr>
    </w:p>
    <w:p w14:paraId="40E63704">
      <w:pPr>
        <w:pStyle w:val="2"/>
        <w:jc w:val="center"/>
        <w:rPr>
          <w:rFonts w:ascii="Times New Roman" w:hAnsi="Times New Roman"/>
          <w:b/>
          <w:bCs/>
          <w:kern w:val="2"/>
          <w:sz w:val="36"/>
          <w:szCs w:val="36"/>
        </w:rPr>
      </w:pPr>
    </w:p>
    <w:p w14:paraId="5AD970C3">
      <w:pPr>
        <w:pStyle w:val="2"/>
        <w:jc w:val="center"/>
        <w:rPr>
          <w:rFonts w:ascii="Times New Roman" w:hAnsi="Times New Roman"/>
          <w:b/>
          <w:bCs/>
          <w:kern w:val="2"/>
          <w:sz w:val="36"/>
          <w:szCs w:val="36"/>
        </w:rPr>
      </w:pPr>
      <w:r>
        <w:rPr>
          <w:rFonts w:hint="eastAsia" w:ascii="Times New Roman" w:hAnsi="Times New Roman"/>
          <w:b/>
          <w:bCs/>
          <w:kern w:val="2"/>
          <w:sz w:val="36"/>
          <w:szCs w:val="36"/>
        </w:rPr>
        <w:t>资质文件</w:t>
      </w:r>
    </w:p>
    <w:p w14:paraId="62C7E0A6">
      <w:pPr>
        <w:pStyle w:val="2"/>
        <w:tabs>
          <w:tab w:val="left" w:pos="4944"/>
        </w:tabs>
        <w:jc w:val="left"/>
        <w:rPr>
          <w:color w:val="4E6127"/>
        </w:rPr>
      </w:pPr>
    </w:p>
    <w:p w14:paraId="29022B27">
      <w:pPr>
        <w:pStyle w:val="2"/>
        <w:tabs>
          <w:tab w:val="left" w:pos="4944"/>
        </w:tabs>
        <w:jc w:val="left"/>
        <w:rPr>
          <w:color w:val="0000FF"/>
        </w:rPr>
      </w:pPr>
    </w:p>
    <w:p w14:paraId="533E51C1">
      <w:pPr>
        <w:pStyle w:val="2"/>
        <w:tabs>
          <w:tab w:val="left" w:pos="4944"/>
        </w:tabs>
        <w:jc w:val="left"/>
        <w:rPr>
          <w:color w:val="0000FF"/>
        </w:rPr>
      </w:pPr>
    </w:p>
    <w:p w14:paraId="18D34A1C">
      <w:pPr>
        <w:pStyle w:val="2"/>
        <w:tabs>
          <w:tab w:val="left" w:pos="4944"/>
        </w:tabs>
        <w:jc w:val="left"/>
        <w:rPr>
          <w:color w:val="0000FF"/>
        </w:rPr>
      </w:pPr>
    </w:p>
    <w:p w14:paraId="7CCEC459">
      <w:pPr>
        <w:pStyle w:val="2"/>
        <w:tabs>
          <w:tab w:val="left" w:pos="4944"/>
        </w:tabs>
        <w:jc w:val="left"/>
        <w:rPr>
          <w:color w:val="0000FF"/>
        </w:rPr>
      </w:pPr>
    </w:p>
    <w:p w14:paraId="234F82AB">
      <w:pPr>
        <w:pStyle w:val="2"/>
        <w:tabs>
          <w:tab w:val="left" w:pos="4944"/>
        </w:tabs>
        <w:jc w:val="left"/>
        <w:rPr>
          <w:color w:val="0000FF"/>
        </w:rPr>
      </w:pPr>
    </w:p>
    <w:p w14:paraId="3C54A92C">
      <w:pPr>
        <w:pStyle w:val="2"/>
        <w:tabs>
          <w:tab w:val="left" w:pos="4944"/>
        </w:tabs>
        <w:jc w:val="left"/>
        <w:rPr>
          <w:color w:val="0000FF"/>
        </w:rPr>
      </w:pPr>
    </w:p>
    <w:p w14:paraId="16EAC8AA">
      <w:pPr>
        <w:pStyle w:val="2"/>
        <w:tabs>
          <w:tab w:val="left" w:pos="4944"/>
        </w:tabs>
        <w:jc w:val="left"/>
        <w:rPr>
          <w:color w:val="0000FF"/>
        </w:rPr>
      </w:pPr>
    </w:p>
    <w:p w14:paraId="4820E6C4">
      <w:pPr>
        <w:pStyle w:val="2"/>
        <w:tabs>
          <w:tab w:val="left" w:pos="4944"/>
        </w:tabs>
        <w:jc w:val="left"/>
        <w:rPr>
          <w:color w:val="0000FF"/>
        </w:rPr>
      </w:pPr>
    </w:p>
    <w:p w14:paraId="3141D235">
      <w:pPr>
        <w:pStyle w:val="2"/>
        <w:tabs>
          <w:tab w:val="left" w:pos="4944"/>
        </w:tabs>
        <w:jc w:val="left"/>
        <w:rPr>
          <w:color w:val="0000FF"/>
        </w:rPr>
      </w:pPr>
    </w:p>
    <w:p w14:paraId="452A0F66">
      <w:pPr>
        <w:pStyle w:val="2"/>
        <w:tabs>
          <w:tab w:val="left" w:pos="4944"/>
        </w:tabs>
        <w:jc w:val="left"/>
        <w:rPr>
          <w:color w:val="0000FF"/>
        </w:rPr>
      </w:pPr>
    </w:p>
    <w:p w14:paraId="799D9537">
      <w:pPr>
        <w:pStyle w:val="2"/>
        <w:tabs>
          <w:tab w:val="left" w:pos="4944"/>
        </w:tabs>
        <w:jc w:val="left"/>
        <w:rPr>
          <w:color w:val="0000FF"/>
        </w:rPr>
      </w:pPr>
    </w:p>
    <w:p w14:paraId="2D726507">
      <w:pPr>
        <w:pStyle w:val="2"/>
        <w:tabs>
          <w:tab w:val="left" w:pos="4944"/>
        </w:tabs>
        <w:jc w:val="left"/>
        <w:rPr>
          <w:color w:val="0000FF"/>
        </w:rPr>
      </w:pPr>
    </w:p>
    <w:p w14:paraId="189A95BC">
      <w:pPr>
        <w:pStyle w:val="2"/>
        <w:tabs>
          <w:tab w:val="left" w:pos="4944"/>
        </w:tabs>
        <w:jc w:val="left"/>
        <w:rPr>
          <w:color w:val="0000FF"/>
        </w:rPr>
      </w:pPr>
    </w:p>
    <w:p w14:paraId="7D6F1F1D">
      <w:pPr>
        <w:pStyle w:val="2"/>
        <w:tabs>
          <w:tab w:val="left" w:pos="4944"/>
        </w:tabs>
        <w:jc w:val="left"/>
        <w:rPr>
          <w:color w:val="0000FF"/>
        </w:rPr>
      </w:pPr>
    </w:p>
    <w:p w14:paraId="2B09A93A">
      <w:pPr>
        <w:pStyle w:val="2"/>
        <w:tabs>
          <w:tab w:val="left" w:pos="4944"/>
        </w:tabs>
        <w:jc w:val="left"/>
        <w:rPr>
          <w:color w:val="0000FF"/>
        </w:rPr>
      </w:pPr>
    </w:p>
    <w:p w14:paraId="2CADDC21">
      <w:pPr>
        <w:pStyle w:val="2"/>
        <w:tabs>
          <w:tab w:val="left" w:pos="4944"/>
        </w:tabs>
        <w:jc w:val="left"/>
        <w:rPr>
          <w:color w:val="0000FF"/>
        </w:rPr>
      </w:pPr>
    </w:p>
    <w:p w14:paraId="24E2B176">
      <w:pPr>
        <w:pStyle w:val="2"/>
        <w:tabs>
          <w:tab w:val="left" w:pos="4944"/>
        </w:tabs>
        <w:jc w:val="left"/>
        <w:rPr>
          <w:color w:val="0000FF"/>
        </w:rPr>
      </w:pPr>
    </w:p>
    <w:p w14:paraId="27BEBCAF">
      <w:pPr>
        <w:pStyle w:val="2"/>
        <w:tabs>
          <w:tab w:val="left" w:pos="4944"/>
        </w:tabs>
        <w:jc w:val="left"/>
        <w:rPr>
          <w:color w:val="0000FF"/>
        </w:rPr>
      </w:pPr>
    </w:p>
    <w:p w14:paraId="5B593D9F">
      <w:pPr>
        <w:pStyle w:val="2"/>
        <w:tabs>
          <w:tab w:val="left" w:pos="4944"/>
        </w:tabs>
        <w:jc w:val="left"/>
        <w:rPr>
          <w:color w:val="0000FF"/>
        </w:rPr>
      </w:pPr>
    </w:p>
    <w:p w14:paraId="099DD182">
      <w:pPr>
        <w:pStyle w:val="2"/>
        <w:jc w:val="center"/>
        <w:rPr>
          <w:rFonts w:ascii="Times New Roman" w:hAnsi="Times New Roman"/>
          <w:b/>
          <w:bCs/>
          <w:kern w:val="2"/>
          <w:sz w:val="36"/>
          <w:szCs w:val="36"/>
        </w:rPr>
      </w:pPr>
    </w:p>
    <w:p w14:paraId="067B2C6A">
      <w:pPr>
        <w:pStyle w:val="2"/>
        <w:jc w:val="center"/>
        <w:rPr>
          <w:rFonts w:ascii="Times New Roman" w:hAnsi="Times New Roman"/>
          <w:b/>
          <w:bCs/>
          <w:kern w:val="2"/>
          <w:sz w:val="36"/>
          <w:szCs w:val="36"/>
        </w:rPr>
      </w:pPr>
    </w:p>
    <w:p w14:paraId="3E639D39">
      <w:pPr>
        <w:pStyle w:val="2"/>
        <w:jc w:val="center"/>
        <w:rPr>
          <w:rFonts w:ascii="Times New Roman" w:hAnsi="Times New Roman"/>
          <w:b/>
          <w:bCs/>
          <w:kern w:val="2"/>
          <w:sz w:val="36"/>
          <w:szCs w:val="36"/>
        </w:rPr>
      </w:pPr>
      <w:r>
        <w:rPr>
          <w:rFonts w:hint="eastAsia" w:ascii="Times New Roman" w:hAnsi="Times New Roman"/>
          <w:b/>
          <w:bCs/>
          <w:kern w:val="2"/>
          <w:sz w:val="36"/>
          <w:szCs w:val="36"/>
        </w:rPr>
        <w:t>业绩证明</w:t>
      </w:r>
    </w:p>
    <w:p w14:paraId="0E936ED3">
      <w:pPr>
        <w:pStyle w:val="72"/>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（如内容超过一页，可附页）</w:t>
      </w:r>
    </w:p>
    <w:p w14:paraId="490F4355">
      <w:pPr>
        <w:pStyle w:val="72"/>
        <w:spacing w:beforeLines="0" w:afterLines="0" w:line="240" w:lineRule="auto"/>
        <w:rPr>
          <w:rFonts w:cs="Times New Roman"/>
          <w:bCs w:val="0"/>
          <w:color w:val="4E6127"/>
          <w:lang w:eastAsia="zh-CN"/>
        </w:rPr>
      </w:pPr>
    </w:p>
    <w:p w14:paraId="6996F3EF">
      <w:pPr>
        <w:pStyle w:val="72"/>
        <w:spacing w:beforeLines="0" w:afterLines="0" w:line="240" w:lineRule="auto"/>
        <w:rPr>
          <w:rFonts w:cs="Times New Roman"/>
          <w:bCs w:val="0"/>
          <w:lang w:eastAsia="zh-CN"/>
        </w:rPr>
      </w:pPr>
    </w:p>
    <w:p w14:paraId="5F1912C8">
      <w:pPr>
        <w:pStyle w:val="72"/>
        <w:spacing w:beforeLines="0" w:afterLines="0" w:line="240" w:lineRule="auto"/>
        <w:rPr>
          <w:rFonts w:cs="Times New Roman"/>
          <w:bCs w:val="0"/>
          <w:lang w:eastAsia="zh-CN"/>
        </w:rPr>
      </w:pPr>
    </w:p>
    <w:p w14:paraId="5FF25F44">
      <w:pPr>
        <w:pStyle w:val="72"/>
        <w:spacing w:beforeLines="0" w:afterLines="0" w:line="240" w:lineRule="auto"/>
        <w:rPr>
          <w:rFonts w:cs="Times New Roman"/>
          <w:bCs w:val="0"/>
          <w:lang w:eastAsia="zh-CN"/>
        </w:rPr>
      </w:pPr>
    </w:p>
    <w:p w14:paraId="703DA105">
      <w:pPr>
        <w:pStyle w:val="72"/>
        <w:spacing w:beforeLines="0" w:afterLines="0" w:line="240" w:lineRule="auto"/>
        <w:rPr>
          <w:rFonts w:cs="Times New Roman"/>
          <w:bCs w:val="0"/>
          <w:lang w:eastAsia="zh-CN"/>
        </w:rPr>
      </w:pPr>
    </w:p>
    <w:p w14:paraId="07573D8C">
      <w:pPr>
        <w:pStyle w:val="72"/>
        <w:spacing w:beforeLines="0" w:afterLines="0" w:line="240" w:lineRule="auto"/>
        <w:rPr>
          <w:rFonts w:cs="Times New Roman"/>
          <w:bCs w:val="0"/>
          <w:lang w:eastAsia="zh-CN"/>
        </w:rPr>
      </w:pPr>
    </w:p>
    <w:p w14:paraId="38E0D9BC">
      <w:pPr>
        <w:pStyle w:val="72"/>
        <w:spacing w:beforeLines="0" w:afterLines="0" w:line="240" w:lineRule="auto"/>
        <w:rPr>
          <w:rFonts w:cs="Times New Roman"/>
          <w:bCs w:val="0"/>
          <w:lang w:eastAsia="zh-CN"/>
        </w:rPr>
      </w:pPr>
    </w:p>
    <w:p w14:paraId="250DCBC7">
      <w:pPr>
        <w:pStyle w:val="72"/>
        <w:spacing w:beforeLines="0" w:afterLines="0" w:line="240" w:lineRule="auto"/>
        <w:rPr>
          <w:rFonts w:cs="Times New Roman"/>
          <w:bCs w:val="0"/>
          <w:lang w:eastAsia="zh-CN"/>
        </w:rPr>
      </w:pPr>
    </w:p>
    <w:p w14:paraId="1D4F59E7">
      <w:pPr>
        <w:pStyle w:val="72"/>
        <w:spacing w:beforeLines="0" w:afterLines="0" w:line="240" w:lineRule="auto"/>
        <w:rPr>
          <w:rFonts w:cs="Times New Roman"/>
          <w:bCs w:val="0"/>
          <w:lang w:eastAsia="zh-CN"/>
        </w:rPr>
      </w:pPr>
    </w:p>
    <w:p w14:paraId="0838A6C6">
      <w:pPr>
        <w:pStyle w:val="72"/>
        <w:spacing w:beforeLines="0" w:afterLines="0" w:line="240" w:lineRule="auto"/>
        <w:rPr>
          <w:rFonts w:cs="Times New Roman"/>
          <w:bCs w:val="0"/>
          <w:lang w:eastAsia="zh-CN"/>
        </w:rPr>
      </w:pPr>
    </w:p>
    <w:p w14:paraId="0062A1B9">
      <w:pPr>
        <w:pStyle w:val="72"/>
        <w:spacing w:beforeLines="0" w:afterLines="0" w:line="240" w:lineRule="auto"/>
        <w:rPr>
          <w:rFonts w:cs="Times New Roman"/>
          <w:bCs w:val="0"/>
          <w:lang w:eastAsia="zh-CN"/>
        </w:rPr>
      </w:pPr>
    </w:p>
    <w:p w14:paraId="62E2D4A0">
      <w:pPr>
        <w:pStyle w:val="72"/>
        <w:spacing w:beforeLines="0" w:afterLines="0" w:line="240" w:lineRule="auto"/>
        <w:rPr>
          <w:rFonts w:cs="Times New Roman"/>
          <w:bCs w:val="0"/>
          <w:lang w:eastAsia="zh-CN"/>
        </w:rPr>
      </w:pPr>
    </w:p>
    <w:p w14:paraId="3303F497">
      <w:pPr>
        <w:pStyle w:val="72"/>
        <w:spacing w:beforeLines="0" w:afterLines="0" w:line="240" w:lineRule="auto"/>
        <w:rPr>
          <w:rFonts w:cs="Times New Roman"/>
          <w:bCs w:val="0"/>
          <w:lang w:eastAsia="zh-CN"/>
        </w:rPr>
      </w:pPr>
    </w:p>
    <w:p w14:paraId="39CB0D63">
      <w:pPr>
        <w:pStyle w:val="72"/>
        <w:spacing w:beforeLines="0" w:afterLines="0" w:line="240" w:lineRule="auto"/>
        <w:rPr>
          <w:rFonts w:cs="Times New Roman"/>
          <w:bCs w:val="0"/>
          <w:lang w:eastAsia="zh-CN"/>
        </w:rPr>
      </w:pPr>
    </w:p>
    <w:p w14:paraId="3DCD6236">
      <w:pPr>
        <w:pStyle w:val="72"/>
        <w:spacing w:beforeLines="0" w:afterLines="0" w:line="240" w:lineRule="auto"/>
        <w:rPr>
          <w:rFonts w:cs="Times New Roman"/>
          <w:bCs w:val="0"/>
          <w:lang w:eastAsia="zh-CN"/>
        </w:rPr>
      </w:pPr>
    </w:p>
    <w:p w14:paraId="0B3D83E4">
      <w:pPr>
        <w:pStyle w:val="72"/>
        <w:spacing w:beforeLines="0" w:afterLines="0" w:line="240" w:lineRule="auto"/>
        <w:rPr>
          <w:rFonts w:cs="Times New Roman"/>
          <w:bCs w:val="0"/>
          <w:lang w:eastAsia="zh-CN"/>
        </w:rPr>
      </w:pPr>
    </w:p>
    <w:p w14:paraId="51F9863D">
      <w:pPr>
        <w:pStyle w:val="72"/>
        <w:spacing w:beforeLines="0" w:afterLines="0" w:line="240" w:lineRule="auto"/>
        <w:rPr>
          <w:rFonts w:cs="Times New Roman"/>
          <w:bCs w:val="0"/>
          <w:lang w:eastAsia="zh-CN"/>
        </w:rPr>
      </w:pPr>
    </w:p>
    <w:p w14:paraId="6C9FA5C7">
      <w:pPr>
        <w:pStyle w:val="72"/>
        <w:spacing w:beforeLines="0" w:afterLines="0" w:line="240" w:lineRule="auto"/>
        <w:rPr>
          <w:rFonts w:cs="Times New Roman"/>
          <w:bCs w:val="0"/>
          <w:lang w:eastAsia="zh-CN"/>
        </w:rPr>
      </w:pPr>
    </w:p>
    <w:p w14:paraId="43A7B868">
      <w:pPr>
        <w:pStyle w:val="72"/>
        <w:spacing w:beforeLines="0" w:afterLines="0" w:line="240" w:lineRule="auto"/>
        <w:rPr>
          <w:rFonts w:cs="Times New Roman"/>
          <w:bCs w:val="0"/>
          <w:lang w:eastAsia="zh-CN"/>
        </w:rPr>
      </w:pPr>
    </w:p>
    <w:p w14:paraId="145A4407">
      <w:pPr>
        <w:pStyle w:val="72"/>
        <w:spacing w:beforeLines="0" w:afterLines="0" w:line="240" w:lineRule="auto"/>
        <w:rPr>
          <w:rFonts w:cs="Times New Roman"/>
          <w:bCs w:val="0"/>
          <w:lang w:eastAsia="zh-CN"/>
        </w:rPr>
      </w:pPr>
    </w:p>
    <w:p w14:paraId="65F076A4">
      <w:pPr>
        <w:pStyle w:val="72"/>
        <w:spacing w:beforeLines="0" w:afterLines="0" w:line="240" w:lineRule="auto"/>
        <w:rPr>
          <w:rFonts w:cs="Times New Roman"/>
          <w:bCs w:val="0"/>
          <w:lang w:eastAsia="zh-CN"/>
        </w:rPr>
      </w:pPr>
    </w:p>
    <w:p w14:paraId="550450F6">
      <w:pPr>
        <w:pStyle w:val="72"/>
        <w:spacing w:beforeLines="0" w:afterLines="0" w:line="240" w:lineRule="auto"/>
        <w:rPr>
          <w:rFonts w:cs="Times New Roman"/>
          <w:bCs w:val="0"/>
          <w:lang w:eastAsia="zh-CN"/>
        </w:rPr>
      </w:pPr>
    </w:p>
    <w:p w14:paraId="21A2CFFA">
      <w:pPr>
        <w:pStyle w:val="2"/>
        <w:jc w:val="center"/>
        <w:rPr>
          <w:rFonts w:ascii="Times New Roman" w:hAnsi="Times New Roman"/>
          <w:b/>
          <w:bCs/>
          <w:kern w:val="2"/>
          <w:sz w:val="36"/>
          <w:szCs w:val="36"/>
        </w:rPr>
      </w:pPr>
      <w:r>
        <w:rPr>
          <w:rFonts w:hint="eastAsia" w:ascii="Times New Roman" w:hAnsi="Times New Roman"/>
          <w:b/>
          <w:bCs/>
          <w:kern w:val="2"/>
          <w:sz w:val="36"/>
          <w:szCs w:val="36"/>
        </w:rPr>
        <w:t>项目负责人及其他人员相关资格证书复印件</w:t>
      </w:r>
    </w:p>
    <w:p w14:paraId="7E115ECB">
      <w:pPr>
        <w:pStyle w:val="72"/>
        <w:spacing w:beforeLines="0" w:afterLines="0" w:line="240" w:lineRule="auto"/>
        <w:rPr>
          <w:rFonts w:cs="Times New Roman"/>
          <w:bCs w:val="0"/>
          <w:lang w:eastAsia="zh-CN"/>
        </w:rPr>
      </w:pPr>
    </w:p>
    <w:p w14:paraId="7B6E7BB1">
      <w:pPr>
        <w:pStyle w:val="72"/>
        <w:spacing w:beforeLines="0" w:afterLines="0" w:line="240" w:lineRule="auto"/>
        <w:rPr>
          <w:rFonts w:cs="Times New Roman"/>
          <w:bCs w:val="0"/>
          <w:lang w:eastAsia="zh-CN"/>
        </w:rPr>
      </w:pPr>
    </w:p>
    <w:p w14:paraId="588C2F82">
      <w:pPr>
        <w:pStyle w:val="72"/>
        <w:spacing w:beforeLines="0" w:afterLines="0" w:line="240" w:lineRule="auto"/>
        <w:rPr>
          <w:rFonts w:cs="Times New Roman"/>
          <w:bCs w:val="0"/>
          <w:lang w:eastAsia="zh-CN"/>
        </w:rPr>
      </w:pPr>
    </w:p>
    <w:p w14:paraId="150771F6">
      <w:pPr>
        <w:pStyle w:val="72"/>
        <w:spacing w:beforeLines="0" w:afterLines="0" w:line="240" w:lineRule="auto"/>
        <w:rPr>
          <w:rFonts w:cs="Times New Roman"/>
          <w:bCs w:val="0"/>
          <w:lang w:eastAsia="zh-CN"/>
        </w:rPr>
      </w:pPr>
    </w:p>
    <w:p w14:paraId="59AB94C6">
      <w:pPr>
        <w:pStyle w:val="72"/>
        <w:spacing w:beforeLines="0" w:afterLines="0" w:line="240" w:lineRule="auto"/>
        <w:rPr>
          <w:rFonts w:cs="Times New Roman"/>
          <w:bCs w:val="0"/>
          <w:lang w:eastAsia="zh-CN"/>
        </w:rPr>
      </w:pPr>
    </w:p>
    <w:p w14:paraId="267768CA">
      <w:pPr>
        <w:pStyle w:val="72"/>
        <w:spacing w:beforeLines="0" w:afterLines="0" w:line="240" w:lineRule="auto"/>
        <w:rPr>
          <w:rFonts w:cs="Times New Roman"/>
          <w:bCs w:val="0"/>
          <w:lang w:eastAsia="zh-CN"/>
        </w:rPr>
      </w:pPr>
    </w:p>
    <w:p w14:paraId="4DFBE6B2">
      <w:pPr>
        <w:pStyle w:val="72"/>
        <w:spacing w:beforeLines="0" w:afterLines="0" w:line="240" w:lineRule="auto"/>
        <w:rPr>
          <w:rFonts w:cs="Times New Roman"/>
          <w:bCs w:val="0"/>
          <w:lang w:eastAsia="zh-CN"/>
        </w:rPr>
      </w:pPr>
    </w:p>
    <w:p w14:paraId="53CE2849">
      <w:pPr>
        <w:pStyle w:val="72"/>
        <w:spacing w:beforeLines="0" w:afterLines="0" w:line="240" w:lineRule="auto"/>
        <w:rPr>
          <w:rFonts w:cs="Times New Roman"/>
          <w:bCs w:val="0"/>
          <w:lang w:eastAsia="zh-CN"/>
        </w:rPr>
      </w:pPr>
    </w:p>
    <w:p w14:paraId="26EC4865">
      <w:pPr>
        <w:pStyle w:val="72"/>
        <w:spacing w:beforeLines="0" w:afterLines="0" w:line="240" w:lineRule="auto"/>
        <w:rPr>
          <w:rFonts w:cs="Times New Roman"/>
          <w:bCs w:val="0"/>
          <w:lang w:eastAsia="zh-CN"/>
        </w:rPr>
      </w:pPr>
    </w:p>
    <w:p w14:paraId="51A2164B">
      <w:pPr>
        <w:pStyle w:val="72"/>
        <w:spacing w:beforeLines="0" w:afterLines="0" w:line="240" w:lineRule="auto"/>
        <w:rPr>
          <w:rFonts w:cs="Times New Roman"/>
          <w:bCs w:val="0"/>
          <w:lang w:eastAsia="zh-CN"/>
        </w:rPr>
      </w:pPr>
    </w:p>
    <w:p w14:paraId="523E1FA6">
      <w:pPr>
        <w:pStyle w:val="72"/>
        <w:spacing w:beforeLines="0" w:afterLines="0" w:line="240" w:lineRule="auto"/>
        <w:rPr>
          <w:rFonts w:cs="Times New Roman"/>
          <w:bCs w:val="0"/>
          <w:lang w:eastAsia="zh-CN"/>
        </w:rPr>
      </w:pPr>
    </w:p>
    <w:p w14:paraId="34510C6E">
      <w:pPr>
        <w:pStyle w:val="72"/>
        <w:spacing w:beforeLines="0" w:afterLines="0" w:line="240" w:lineRule="auto"/>
        <w:rPr>
          <w:rFonts w:cs="Times New Roman"/>
          <w:bCs w:val="0"/>
          <w:lang w:eastAsia="zh-CN"/>
        </w:rPr>
      </w:pPr>
    </w:p>
    <w:p w14:paraId="2456ABBC">
      <w:pPr>
        <w:pStyle w:val="72"/>
        <w:spacing w:beforeLines="0" w:afterLines="0" w:line="240" w:lineRule="auto"/>
        <w:rPr>
          <w:rFonts w:cs="Times New Roman"/>
          <w:bCs w:val="0"/>
          <w:lang w:eastAsia="zh-CN"/>
        </w:rPr>
      </w:pPr>
    </w:p>
    <w:p w14:paraId="2C07019F">
      <w:pPr>
        <w:pStyle w:val="72"/>
        <w:spacing w:beforeLines="0" w:afterLines="0" w:line="240" w:lineRule="auto"/>
        <w:rPr>
          <w:rFonts w:cs="Times New Roman"/>
          <w:bCs w:val="0"/>
          <w:lang w:eastAsia="zh-CN"/>
        </w:rPr>
      </w:pPr>
    </w:p>
    <w:p w14:paraId="23D5FEB0">
      <w:pPr>
        <w:pStyle w:val="72"/>
        <w:spacing w:beforeLines="0" w:afterLines="0" w:line="240" w:lineRule="auto"/>
        <w:rPr>
          <w:rFonts w:cs="Times New Roman"/>
          <w:bCs w:val="0"/>
          <w:lang w:eastAsia="zh-CN"/>
        </w:rPr>
      </w:pPr>
    </w:p>
    <w:p w14:paraId="63987C2E">
      <w:pPr>
        <w:pStyle w:val="72"/>
        <w:spacing w:beforeLines="0" w:afterLines="0" w:line="240" w:lineRule="auto"/>
        <w:rPr>
          <w:rFonts w:cs="Times New Roman"/>
          <w:bCs w:val="0"/>
          <w:lang w:eastAsia="zh-CN"/>
        </w:rPr>
      </w:pPr>
    </w:p>
    <w:p w14:paraId="6BE0CD2C">
      <w:pPr>
        <w:pStyle w:val="72"/>
        <w:spacing w:beforeLines="0" w:afterLines="0" w:line="240" w:lineRule="auto"/>
        <w:rPr>
          <w:rFonts w:cs="Times New Roman"/>
          <w:bCs w:val="0"/>
          <w:lang w:eastAsia="zh-CN"/>
        </w:rPr>
      </w:pPr>
    </w:p>
    <w:p w14:paraId="2A2BF05F">
      <w:pPr>
        <w:pStyle w:val="72"/>
        <w:spacing w:beforeLines="0" w:afterLines="0" w:line="240" w:lineRule="auto"/>
        <w:rPr>
          <w:rFonts w:cs="Times New Roman"/>
          <w:bCs w:val="0"/>
          <w:lang w:eastAsia="zh-CN"/>
        </w:rPr>
      </w:pPr>
    </w:p>
    <w:p w14:paraId="72B128D4">
      <w:pPr>
        <w:pStyle w:val="72"/>
        <w:spacing w:beforeLines="0" w:afterLines="0" w:line="240" w:lineRule="auto"/>
        <w:rPr>
          <w:rFonts w:cs="Times New Roman"/>
          <w:bCs w:val="0"/>
          <w:lang w:eastAsia="zh-CN"/>
        </w:rPr>
      </w:pPr>
    </w:p>
    <w:p w14:paraId="11782F53">
      <w:pPr>
        <w:pStyle w:val="72"/>
        <w:spacing w:beforeLines="0" w:afterLines="0" w:line="240" w:lineRule="auto"/>
        <w:rPr>
          <w:rFonts w:cs="Times New Roman"/>
          <w:bCs w:val="0"/>
          <w:lang w:eastAsia="zh-CN"/>
        </w:rPr>
      </w:pPr>
    </w:p>
    <w:p w14:paraId="4ABC429E">
      <w:pPr>
        <w:pStyle w:val="72"/>
        <w:spacing w:beforeLines="0" w:afterLines="0" w:line="240" w:lineRule="auto"/>
        <w:rPr>
          <w:rFonts w:cs="Times New Roman"/>
          <w:bCs w:val="0"/>
          <w:lang w:eastAsia="zh-CN"/>
        </w:rPr>
      </w:pPr>
    </w:p>
    <w:p w14:paraId="33547B78">
      <w:pPr>
        <w:pStyle w:val="72"/>
        <w:spacing w:beforeLines="0" w:afterLines="0" w:line="240" w:lineRule="auto"/>
        <w:rPr>
          <w:rFonts w:cs="Times New Roman"/>
          <w:bCs w:val="0"/>
          <w:lang w:eastAsia="zh-CN"/>
        </w:rPr>
      </w:pPr>
    </w:p>
    <w:p w14:paraId="4B117CCA">
      <w:pPr>
        <w:pStyle w:val="2"/>
        <w:jc w:val="center"/>
        <w:rPr>
          <w:rFonts w:ascii="Times New Roman" w:hAnsi="Times New Roman"/>
          <w:b/>
          <w:bCs/>
          <w:kern w:val="2"/>
          <w:sz w:val="36"/>
          <w:szCs w:val="36"/>
        </w:rPr>
      </w:pPr>
      <w:r>
        <w:rPr>
          <w:rFonts w:hint="eastAsia" w:ascii="Times New Roman" w:hAnsi="Times New Roman"/>
          <w:b/>
          <w:bCs/>
          <w:kern w:val="2"/>
          <w:sz w:val="36"/>
          <w:szCs w:val="36"/>
        </w:rPr>
        <w:t>项目方案</w:t>
      </w:r>
    </w:p>
    <w:p w14:paraId="78ED352F">
      <w:pPr>
        <w:spacing w:line="360" w:lineRule="auto"/>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 xml:space="preserve">     </w:t>
      </w:r>
    </w:p>
    <w:p w14:paraId="3F1E4A2E">
      <w:pPr>
        <w:spacing w:line="360" w:lineRule="auto"/>
        <w:jc w:val="center"/>
        <w:rPr>
          <w:rFonts w:ascii="Times New Roman" w:hAnsi="Times New Roman" w:cs="Times New Roman"/>
          <w:b/>
          <w:sz w:val="36"/>
          <w:szCs w:val="36"/>
          <w:lang w:eastAsia="zh-CN"/>
        </w:rPr>
      </w:pPr>
    </w:p>
    <w:p w14:paraId="0810952A">
      <w:pPr>
        <w:spacing w:line="360" w:lineRule="auto"/>
        <w:jc w:val="center"/>
        <w:rPr>
          <w:rFonts w:ascii="Times New Roman" w:hAnsi="Times New Roman" w:cs="Times New Roman"/>
          <w:b/>
          <w:sz w:val="36"/>
          <w:szCs w:val="36"/>
          <w:lang w:eastAsia="zh-CN"/>
        </w:rPr>
      </w:pPr>
    </w:p>
    <w:p w14:paraId="7F37268C">
      <w:pPr>
        <w:spacing w:line="360" w:lineRule="auto"/>
        <w:jc w:val="center"/>
        <w:rPr>
          <w:rFonts w:ascii="Times New Roman" w:hAnsi="Times New Roman" w:cs="Times New Roman"/>
          <w:b/>
          <w:sz w:val="36"/>
          <w:szCs w:val="36"/>
          <w:lang w:eastAsia="zh-CN"/>
        </w:rPr>
      </w:pPr>
    </w:p>
    <w:p w14:paraId="01CED534">
      <w:pPr>
        <w:spacing w:line="360" w:lineRule="auto"/>
        <w:jc w:val="center"/>
        <w:rPr>
          <w:rFonts w:ascii="Times New Roman" w:hAnsi="Times New Roman" w:cs="Times New Roman"/>
          <w:b/>
          <w:sz w:val="36"/>
          <w:szCs w:val="36"/>
          <w:lang w:eastAsia="zh-CN"/>
        </w:rPr>
      </w:pPr>
    </w:p>
    <w:p w14:paraId="76D5E79B">
      <w:pPr>
        <w:spacing w:line="360" w:lineRule="auto"/>
        <w:jc w:val="center"/>
        <w:rPr>
          <w:rFonts w:ascii="Times New Roman" w:hAnsi="Times New Roman" w:cs="Times New Roman"/>
          <w:b/>
          <w:sz w:val="36"/>
          <w:szCs w:val="36"/>
          <w:lang w:eastAsia="zh-CN"/>
        </w:rPr>
      </w:pPr>
    </w:p>
    <w:p w14:paraId="07231C9A">
      <w:pPr>
        <w:spacing w:line="360" w:lineRule="auto"/>
        <w:jc w:val="center"/>
        <w:rPr>
          <w:rFonts w:ascii="Times New Roman" w:hAnsi="Times New Roman" w:cs="Times New Roman"/>
          <w:b/>
          <w:sz w:val="36"/>
          <w:szCs w:val="36"/>
          <w:lang w:eastAsia="zh-CN"/>
        </w:rPr>
      </w:pPr>
    </w:p>
    <w:p w14:paraId="690CEABA">
      <w:pPr>
        <w:spacing w:line="360" w:lineRule="auto"/>
        <w:jc w:val="center"/>
        <w:rPr>
          <w:rFonts w:ascii="Times New Roman" w:hAnsi="Times New Roman" w:cs="Times New Roman"/>
          <w:b/>
          <w:sz w:val="36"/>
          <w:szCs w:val="36"/>
          <w:lang w:eastAsia="zh-CN"/>
        </w:rPr>
      </w:pPr>
    </w:p>
    <w:p w14:paraId="2F95D6E9">
      <w:pPr>
        <w:spacing w:line="360" w:lineRule="auto"/>
        <w:jc w:val="center"/>
        <w:rPr>
          <w:rFonts w:ascii="Times New Roman" w:hAnsi="Times New Roman" w:cs="Times New Roman"/>
          <w:b/>
          <w:sz w:val="36"/>
          <w:szCs w:val="36"/>
          <w:lang w:eastAsia="zh-CN"/>
        </w:rPr>
      </w:pPr>
    </w:p>
    <w:p w14:paraId="22626D5B">
      <w:pPr>
        <w:spacing w:line="360" w:lineRule="auto"/>
        <w:jc w:val="center"/>
        <w:rPr>
          <w:rFonts w:ascii="Times New Roman" w:hAnsi="Times New Roman" w:cs="Times New Roman"/>
          <w:b/>
          <w:sz w:val="36"/>
          <w:szCs w:val="36"/>
          <w:lang w:eastAsia="zh-CN"/>
        </w:rPr>
      </w:pPr>
    </w:p>
    <w:p w14:paraId="350A0531">
      <w:pPr>
        <w:spacing w:line="360" w:lineRule="auto"/>
        <w:jc w:val="center"/>
        <w:rPr>
          <w:rFonts w:ascii="Times New Roman" w:hAnsi="Times New Roman" w:cs="Times New Roman"/>
          <w:b/>
          <w:sz w:val="36"/>
          <w:szCs w:val="36"/>
          <w:lang w:eastAsia="zh-CN"/>
        </w:rPr>
      </w:pPr>
    </w:p>
    <w:p w14:paraId="5C75E711">
      <w:pPr>
        <w:spacing w:line="360" w:lineRule="auto"/>
        <w:jc w:val="center"/>
        <w:rPr>
          <w:rFonts w:ascii="Times New Roman" w:hAnsi="Times New Roman" w:cs="Times New Roman"/>
          <w:b/>
          <w:sz w:val="36"/>
          <w:szCs w:val="36"/>
          <w:lang w:eastAsia="zh-CN"/>
        </w:rPr>
      </w:pPr>
    </w:p>
    <w:p w14:paraId="322E4ED8">
      <w:pPr>
        <w:spacing w:line="360" w:lineRule="auto"/>
        <w:jc w:val="center"/>
        <w:rPr>
          <w:rFonts w:ascii="Times New Roman" w:hAnsi="Times New Roman" w:cs="Times New Roman"/>
          <w:b/>
          <w:sz w:val="36"/>
          <w:szCs w:val="36"/>
          <w:lang w:eastAsia="zh-CN"/>
        </w:rPr>
      </w:pPr>
    </w:p>
    <w:p w14:paraId="35937BE0">
      <w:pPr>
        <w:spacing w:line="360" w:lineRule="auto"/>
        <w:jc w:val="center"/>
        <w:rPr>
          <w:rFonts w:ascii="Times New Roman" w:hAnsi="Times New Roman" w:cs="Times New Roman"/>
          <w:b/>
          <w:sz w:val="36"/>
          <w:szCs w:val="36"/>
          <w:lang w:eastAsia="zh-CN"/>
        </w:rPr>
      </w:pPr>
    </w:p>
    <w:p w14:paraId="76041E2F">
      <w:pPr>
        <w:spacing w:line="360" w:lineRule="auto"/>
        <w:jc w:val="center"/>
        <w:rPr>
          <w:rFonts w:ascii="Times New Roman" w:hAnsi="Times New Roman" w:cs="Times New Roman"/>
          <w:b/>
          <w:sz w:val="36"/>
          <w:szCs w:val="36"/>
          <w:lang w:eastAsia="zh-CN"/>
        </w:rPr>
      </w:pPr>
    </w:p>
    <w:p w14:paraId="1706DACD">
      <w:pPr>
        <w:spacing w:line="360" w:lineRule="auto"/>
        <w:jc w:val="center"/>
        <w:rPr>
          <w:rFonts w:ascii="Times New Roman" w:hAnsi="Times New Roman" w:cs="Times New Roman"/>
          <w:b/>
          <w:sz w:val="36"/>
          <w:szCs w:val="36"/>
          <w:lang w:eastAsia="zh-CN"/>
        </w:rPr>
      </w:pPr>
    </w:p>
    <w:p w14:paraId="7D04A956">
      <w:pPr>
        <w:spacing w:line="360" w:lineRule="auto"/>
        <w:jc w:val="center"/>
        <w:rPr>
          <w:rFonts w:ascii="Times New Roman" w:hAnsi="Times New Roman" w:cs="Times New Roman"/>
          <w:b/>
          <w:sz w:val="36"/>
          <w:szCs w:val="36"/>
          <w:lang w:eastAsia="zh-CN"/>
        </w:rPr>
      </w:pPr>
    </w:p>
    <w:p w14:paraId="36E1314B">
      <w:pPr>
        <w:spacing w:line="360" w:lineRule="auto"/>
        <w:jc w:val="center"/>
        <w:rPr>
          <w:rFonts w:ascii="Times New Roman" w:hAnsi="Times New Roman" w:cs="Times New Roman"/>
          <w:b/>
          <w:sz w:val="36"/>
          <w:szCs w:val="36"/>
          <w:lang w:eastAsia="zh-CN"/>
        </w:rPr>
      </w:pPr>
    </w:p>
    <w:p w14:paraId="782CD732">
      <w:pPr>
        <w:spacing w:line="360" w:lineRule="auto"/>
        <w:jc w:val="center"/>
        <w:rPr>
          <w:rFonts w:ascii="Times New Roman" w:hAnsi="Times New Roman" w:cs="Times New Roman"/>
          <w:b/>
          <w:sz w:val="36"/>
          <w:szCs w:val="36"/>
          <w:lang w:eastAsia="zh-CN"/>
        </w:rPr>
      </w:pPr>
    </w:p>
    <w:p w14:paraId="6B4887E8">
      <w:pPr>
        <w:spacing w:line="360" w:lineRule="auto"/>
        <w:jc w:val="center"/>
        <w:rPr>
          <w:rFonts w:ascii="Times New Roman" w:hAnsi="Times New Roman" w:cs="Times New Roman"/>
          <w:b/>
          <w:sz w:val="36"/>
          <w:szCs w:val="36"/>
          <w:lang w:eastAsia="zh-CN"/>
        </w:rPr>
      </w:pPr>
    </w:p>
    <w:p w14:paraId="5892BB1A">
      <w:pPr>
        <w:spacing w:line="360" w:lineRule="auto"/>
        <w:jc w:val="center"/>
        <w:rPr>
          <w:rFonts w:ascii="Times New Roman" w:hAnsi="Times New Roman" w:cs="Times New Roman"/>
          <w:b/>
          <w:sz w:val="36"/>
          <w:szCs w:val="36"/>
          <w:lang w:eastAsia="zh-CN"/>
        </w:rPr>
      </w:pPr>
    </w:p>
    <w:p w14:paraId="0461EE21">
      <w:pPr>
        <w:pStyle w:val="2"/>
      </w:pPr>
    </w:p>
    <w:p w14:paraId="52FE5ED8">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03895BC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79212C5">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ascii="Times New Roman" w:hAnsi="ˎ̥"/>
          <w:color w:val="FF0000"/>
          <w:sz w:val="28"/>
          <w:szCs w:val="28"/>
          <w:u w:val="single"/>
          <w:lang w:eastAsia="zh-CN"/>
        </w:rPr>
        <w:t>PTA现场人员用房外部爆炸冲击波影响评估技术服务</w:t>
      </w:r>
      <w:r>
        <w:rPr>
          <w:rFonts w:hint="eastAsia" w:ascii="Times New Roman" w:hAnsi="ˎ̥"/>
          <w:sz w:val="28"/>
          <w:szCs w:val="28"/>
          <w:lang w:eastAsia="zh-CN"/>
        </w:rPr>
        <w:t>比选文件的全部内容后，我方愿以以下报价，严格按照自主比选文件的要求，交付本项目并维修其中的任何缺陷。</w:t>
      </w:r>
    </w:p>
    <w:tbl>
      <w:tblPr>
        <w:tblStyle w:val="46"/>
        <w:tblW w:w="9499" w:type="dxa"/>
        <w:tblInd w:w="-318" w:type="dxa"/>
        <w:tblLayout w:type="autofit"/>
        <w:tblCellMar>
          <w:top w:w="0" w:type="dxa"/>
          <w:left w:w="108" w:type="dxa"/>
          <w:bottom w:w="0" w:type="dxa"/>
          <w:right w:w="108" w:type="dxa"/>
        </w:tblCellMar>
      </w:tblPr>
      <w:tblGrid>
        <w:gridCol w:w="9499"/>
      </w:tblGrid>
      <w:tr w14:paraId="3B26E8B6">
        <w:tblPrEx>
          <w:tblCellMar>
            <w:top w:w="0" w:type="dxa"/>
            <w:left w:w="108" w:type="dxa"/>
            <w:bottom w:w="0" w:type="dxa"/>
            <w:right w:w="108" w:type="dxa"/>
          </w:tblCellMar>
        </w:tblPrEx>
        <w:trPr>
          <w:trHeight w:val="604" w:hRule="atLeast"/>
        </w:trPr>
        <w:tc>
          <w:tcPr>
            <w:tcW w:w="9499" w:type="dxa"/>
            <w:shd w:val="clear" w:color="auto" w:fill="auto"/>
            <w:noWrap/>
            <w:vAlign w:val="center"/>
          </w:tcPr>
          <w:p w14:paraId="49E6DB9E">
            <w:pPr>
              <w:spacing w:line="360" w:lineRule="auto"/>
              <w:ind w:firstLine="980" w:firstLineChars="350"/>
              <w:rPr>
                <w:rFonts w:ascii="Times New Roman" w:hAnsi="Times New Roman"/>
                <w:sz w:val="28"/>
                <w:szCs w:val="28"/>
                <w:lang w:eastAsia="zh-CN"/>
              </w:rPr>
            </w:pPr>
          </w:p>
          <w:p w14:paraId="38842440">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14:paraId="406F7BA6">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ascii="Times New Roman" w:hAnsi="Times New Roman"/>
                <w:sz w:val="28"/>
                <w:szCs w:val="28"/>
                <w:u w:val="single"/>
                <w:lang w:eastAsia="zh-CN"/>
              </w:rPr>
              <w:t>6</w:t>
            </w:r>
            <w:r>
              <w:rPr>
                <w:rFonts w:hint="eastAsia" w:ascii="Times New Roman" w:hAnsi="Times New Roman"/>
                <w:sz w:val="28"/>
                <w:szCs w:val="28"/>
                <w:u w:val="single"/>
                <w:lang w:eastAsia="zh-CN"/>
              </w:rPr>
              <w:t xml:space="preserve">%） </w:t>
            </w:r>
          </w:p>
          <w:p w14:paraId="70E97AAE">
            <w:pPr>
              <w:pStyle w:val="2"/>
            </w:pPr>
          </w:p>
          <w:p w14:paraId="48145707">
            <w:pPr>
              <w:pStyle w:val="2"/>
            </w:pPr>
          </w:p>
          <w:p w14:paraId="0FE76553">
            <w:pPr>
              <w:pStyle w:val="2"/>
              <w:rPr>
                <w:rFonts w:hint="eastAsia"/>
              </w:rPr>
            </w:pPr>
          </w:p>
        </w:tc>
      </w:tr>
    </w:tbl>
    <w:p w14:paraId="5EBA5380">
      <w:pPr>
        <w:snapToGrid w:val="0"/>
        <w:spacing w:line="360" w:lineRule="auto"/>
        <w:rPr>
          <w:rFonts w:asciiTheme="minorEastAsia" w:hAnsiTheme="minorEastAsia" w:eastAsiaTheme="minorEastAsia"/>
          <w:sz w:val="24"/>
          <w:szCs w:val="24"/>
          <w:lang w:eastAsia="zh-CN"/>
        </w:rPr>
      </w:pPr>
    </w:p>
    <w:p w14:paraId="14A42117">
      <w:pPr>
        <w:pStyle w:val="2"/>
      </w:pPr>
    </w:p>
    <w:p w14:paraId="2DA4BB47">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23B16F1B">
      <w:pPr>
        <w:spacing w:line="460" w:lineRule="exact"/>
        <w:ind w:firstLine="560" w:firstLineChars="200"/>
        <w:rPr>
          <w:sz w:val="28"/>
          <w:u w:val="single"/>
          <w:lang w:eastAsia="zh-CN"/>
        </w:rPr>
      </w:pPr>
    </w:p>
    <w:p w14:paraId="69003041">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pPr>
        <w:spacing w:line="460" w:lineRule="exact"/>
        <w:ind w:firstLine="560" w:firstLineChars="200"/>
        <w:rPr>
          <w:color w:val="00B050"/>
          <w:sz w:val="28"/>
          <w:lang w:eastAsia="zh-CN"/>
        </w:rPr>
      </w:pPr>
    </w:p>
    <w:p w14:paraId="33DF4175">
      <w:pPr>
        <w:spacing w:line="460" w:lineRule="exact"/>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pPr>
        <w:spacing w:line="500" w:lineRule="exact"/>
        <w:rPr>
          <w:color w:val="4E6127"/>
          <w:sz w:val="28"/>
          <w:u w:val="single"/>
          <w:lang w:eastAsia="zh-CN"/>
        </w:rPr>
      </w:pPr>
    </w:p>
    <w:p w14:paraId="01AF1EE6">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245903-39A0-4071-AA31-24CF77670E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2A5F9A9-E203-4733-8AAB-B0B43DB9930F}"/>
  </w:font>
  <w:font w:name="Arial">
    <w:panose1 w:val="020B0604020202020204"/>
    <w:charset w:val="00"/>
    <w:family w:val="swiss"/>
    <w:pitch w:val="default"/>
    <w:sig w:usb0="E0002EFF" w:usb1="C000785B" w:usb2="00000009" w:usb3="00000000" w:csb0="400001FF" w:csb1="FFFF0000"/>
    <w:embedRegular r:id="rId3" w:fontKey="{ABE2824F-0013-4894-BB4E-BE79F8DE2EAB}"/>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4" w:fontKey="{5E218429-3D92-477F-8E44-A03CA0EFCEFE}"/>
  </w:font>
  <w:font w:name="ˎ̥">
    <w:altName w:val="Times New Roman"/>
    <w:panose1 w:val="00000000000000000000"/>
    <w:charset w:val="00"/>
    <w:family w:val="roman"/>
    <w:pitch w:val="default"/>
    <w:sig w:usb0="00000000" w:usb1="00000000" w:usb2="00000000" w:usb3="00000000" w:csb0="00000000" w:csb1="00000000"/>
    <w:embedRegular r:id="rId5" w:fontKey="{B918358D-CDBD-46D5-8B6A-AF164831D8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14:paraId="2AAACBA1">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36</w:t>
            </w:r>
            <w:r>
              <w:rPr>
                <w:b/>
                <w:bCs/>
                <w:sz w:val="24"/>
                <w:szCs w:val="24"/>
              </w:rPr>
              <w:fldChar w:fldCharType="end"/>
            </w:r>
          </w:p>
        </w:sdtContent>
      </w:sdt>
    </w:sdtContent>
  </w:sdt>
  <w:p w14:paraId="7552A791">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14:paraId="59170BD0">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36</w:t>
            </w:r>
            <w:r>
              <w:rPr>
                <w:b/>
                <w:bCs/>
                <w:sz w:val="24"/>
                <w:szCs w:val="24"/>
              </w:rPr>
              <w:fldChar w:fldCharType="end"/>
            </w:r>
          </w:p>
        </w:sdtContent>
      </w:sdt>
    </w:sdtContent>
  </w:sdt>
  <w:p w14:paraId="642D1A21">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0259A6"/>
    <w:multiLevelType w:val="multilevel"/>
    <w:tmpl w:val="A20259A6"/>
    <w:lvl w:ilvl="0" w:tentative="0">
      <w:start w:val="1"/>
      <w:numFmt w:val="decimal"/>
      <w:lvlText w:val="%1）"/>
      <w:lvlJc w:val="left"/>
      <w:pPr>
        <w:ind w:left="1060" w:hanging="4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13322953"/>
    <w:multiLevelType w:val="multilevel"/>
    <w:tmpl w:val="13322953"/>
    <w:lvl w:ilvl="0" w:tentative="0">
      <w:start w:val="1"/>
      <w:numFmt w:val="decimal"/>
      <w:lvlText w:val="%1、"/>
      <w:lvlJc w:val="left"/>
      <w:pPr>
        <w:ind w:left="360" w:hanging="360"/>
      </w:pPr>
      <w:rPr>
        <w:rFonts w:hint="default"/>
      </w:rPr>
    </w:lvl>
    <w:lvl w:ilvl="1" w:tentative="0">
      <w:start w:val="1"/>
      <w:numFmt w:val="decimal"/>
      <w:lvlText w:val="（%2）"/>
      <w:lvlJc w:val="left"/>
      <w:pPr>
        <w:ind w:left="1140" w:hanging="720"/>
      </w:pPr>
      <w:rPr>
        <w:rFonts w:hint="default" w:cs="Arial"/>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A7501E2"/>
    <w:multiLevelType w:val="multilevel"/>
    <w:tmpl w:val="2A7501E2"/>
    <w:lvl w:ilvl="0" w:tentative="0">
      <w:start w:val="1"/>
      <w:numFmt w:val="japaneseCounting"/>
      <w:lvlText w:val="%1、"/>
      <w:lvlJc w:val="left"/>
      <w:pPr>
        <w:ind w:left="480" w:hanging="48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5">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6">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4B44014A"/>
    <w:multiLevelType w:val="singleLevel"/>
    <w:tmpl w:val="4B44014A"/>
    <w:lvl w:ilvl="0" w:tentative="0">
      <w:start w:val="9"/>
      <w:numFmt w:val="chineseCounting"/>
      <w:suff w:val="nothing"/>
      <w:lvlText w:val="%1、"/>
      <w:lvlJc w:val="left"/>
      <w:rPr>
        <w:rFonts w:hint="eastAsia"/>
      </w:rPr>
    </w:lvl>
  </w:abstractNum>
  <w:abstractNum w:abstractNumId="8">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9">
    <w:nsid w:val="674D385E"/>
    <w:multiLevelType w:val="multilevel"/>
    <w:tmpl w:val="674D385E"/>
    <w:lvl w:ilvl="0" w:tentative="0">
      <w:start w:val="1"/>
      <w:numFmt w:val="decimal"/>
      <w:lvlText w:val="%1）"/>
      <w:lvlJc w:val="left"/>
      <w:pPr>
        <w:ind w:left="1060" w:hanging="4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0">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8"/>
  </w:num>
  <w:num w:numId="2">
    <w:abstractNumId w:val="1"/>
  </w:num>
  <w:num w:numId="3">
    <w:abstractNumId w:val="7"/>
  </w:num>
  <w:num w:numId="4">
    <w:abstractNumId w:val="4"/>
  </w:num>
  <w:num w:numId="5">
    <w:abstractNumId w:val="5"/>
  </w:num>
  <w:num w:numId="6">
    <w:abstractNumId w:val="6"/>
  </w:num>
  <w:num w:numId="7">
    <w:abstractNumId w:val="10"/>
  </w:num>
  <w:num w:numId="8">
    <w:abstractNumId w:val="3"/>
  </w:num>
  <w:num w:numId="9">
    <w:abstractNumId w:val="2"/>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3"/>
    </o:shapelayout>
  </w:hdrShapeDefaults>
  <w:compat>
    <w:ulTrailSpace/>
    <w:useFELayout/>
    <w:compatSetting w:name="compatibilityMode" w:uri="http://schemas.microsoft.com/office/word" w:val="12"/>
  </w:compat>
  <w:rsids>
    <w:rsidRoot w:val="00967702"/>
    <w:rsid w:val="000004E6"/>
    <w:rsid w:val="000010FA"/>
    <w:rsid w:val="00001416"/>
    <w:rsid w:val="000034C1"/>
    <w:rsid w:val="00004C5E"/>
    <w:rsid w:val="00025717"/>
    <w:rsid w:val="000277D1"/>
    <w:rsid w:val="00034C8E"/>
    <w:rsid w:val="000367ED"/>
    <w:rsid w:val="00037D7F"/>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1007AE"/>
    <w:rsid w:val="00101100"/>
    <w:rsid w:val="0011079D"/>
    <w:rsid w:val="00111D19"/>
    <w:rsid w:val="001150C5"/>
    <w:rsid w:val="00122E24"/>
    <w:rsid w:val="0012681B"/>
    <w:rsid w:val="00130886"/>
    <w:rsid w:val="00135AC9"/>
    <w:rsid w:val="00142384"/>
    <w:rsid w:val="00142830"/>
    <w:rsid w:val="00146977"/>
    <w:rsid w:val="001507FD"/>
    <w:rsid w:val="00150CB0"/>
    <w:rsid w:val="00151BA3"/>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649E6"/>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3D0A"/>
    <w:rsid w:val="002C6A2D"/>
    <w:rsid w:val="002C6A97"/>
    <w:rsid w:val="002D4CF8"/>
    <w:rsid w:val="002E0F0C"/>
    <w:rsid w:val="002E3036"/>
    <w:rsid w:val="002E49DF"/>
    <w:rsid w:val="002E4DB0"/>
    <w:rsid w:val="002E6175"/>
    <w:rsid w:val="002F1C0D"/>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3F00"/>
    <w:rsid w:val="00364EB1"/>
    <w:rsid w:val="00365CCD"/>
    <w:rsid w:val="00373697"/>
    <w:rsid w:val="00376FF9"/>
    <w:rsid w:val="00383DFA"/>
    <w:rsid w:val="00385474"/>
    <w:rsid w:val="00387574"/>
    <w:rsid w:val="0039324B"/>
    <w:rsid w:val="003B3C4F"/>
    <w:rsid w:val="003B3F6B"/>
    <w:rsid w:val="003B6804"/>
    <w:rsid w:val="003B7CBD"/>
    <w:rsid w:val="003C1AF2"/>
    <w:rsid w:val="003D1A59"/>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377A7"/>
    <w:rsid w:val="00547AD0"/>
    <w:rsid w:val="005518F3"/>
    <w:rsid w:val="00555E59"/>
    <w:rsid w:val="00565CF8"/>
    <w:rsid w:val="00566F4C"/>
    <w:rsid w:val="00575663"/>
    <w:rsid w:val="0057705C"/>
    <w:rsid w:val="00581B11"/>
    <w:rsid w:val="00582090"/>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17EEF"/>
    <w:rsid w:val="00622985"/>
    <w:rsid w:val="006238C7"/>
    <w:rsid w:val="006238EE"/>
    <w:rsid w:val="00624F51"/>
    <w:rsid w:val="006268B0"/>
    <w:rsid w:val="00630128"/>
    <w:rsid w:val="006312AB"/>
    <w:rsid w:val="00631F92"/>
    <w:rsid w:val="00632468"/>
    <w:rsid w:val="00632E52"/>
    <w:rsid w:val="00642E61"/>
    <w:rsid w:val="006433B3"/>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775E"/>
    <w:rsid w:val="006D05DD"/>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32F"/>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1A59"/>
    <w:rsid w:val="007F3EB5"/>
    <w:rsid w:val="007F61D0"/>
    <w:rsid w:val="00804A52"/>
    <w:rsid w:val="00804C93"/>
    <w:rsid w:val="00811A05"/>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610B"/>
    <w:rsid w:val="00A70480"/>
    <w:rsid w:val="00A7270C"/>
    <w:rsid w:val="00A82B0B"/>
    <w:rsid w:val="00A878E0"/>
    <w:rsid w:val="00A87B9C"/>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2691E"/>
    <w:rsid w:val="00B3047D"/>
    <w:rsid w:val="00B31994"/>
    <w:rsid w:val="00B33D45"/>
    <w:rsid w:val="00B41C19"/>
    <w:rsid w:val="00B44FC3"/>
    <w:rsid w:val="00B5127C"/>
    <w:rsid w:val="00B601D5"/>
    <w:rsid w:val="00B62B52"/>
    <w:rsid w:val="00B6462C"/>
    <w:rsid w:val="00B64838"/>
    <w:rsid w:val="00B67AF9"/>
    <w:rsid w:val="00B73742"/>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1C61"/>
    <w:rsid w:val="00BB56DE"/>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64FC"/>
    <w:rsid w:val="00C8727A"/>
    <w:rsid w:val="00C913CE"/>
    <w:rsid w:val="00C93BEF"/>
    <w:rsid w:val="00CA54A9"/>
    <w:rsid w:val="00CA7FC9"/>
    <w:rsid w:val="00CB2E01"/>
    <w:rsid w:val="00CB3440"/>
    <w:rsid w:val="00CB5372"/>
    <w:rsid w:val="00CC6798"/>
    <w:rsid w:val="00CC7B1C"/>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2EC"/>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5D00"/>
    <w:rsid w:val="00E56799"/>
    <w:rsid w:val="00E56A1A"/>
    <w:rsid w:val="00E6494A"/>
    <w:rsid w:val="00E67512"/>
    <w:rsid w:val="00E70964"/>
    <w:rsid w:val="00E739AE"/>
    <w:rsid w:val="00E80BDD"/>
    <w:rsid w:val="00E85991"/>
    <w:rsid w:val="00E86649"/>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3F82"/>
    <w:rsid w:val="00F51F3C"/>
    <w:rsid w:val="00F53D9C"/>
    <w:rsid w:val="00F5592F"/>
    <w:rsid w:val="00F6409E"/>
    <w:rsid w:val="00F67332"/>
    <w:rsid w:val="00F72135"/>
    <w:rsid w:val="00F73211"/>
    <w:rsid w:val="00F77283"/>
    <w:rsid w:val="00F772C3"/>
    <w:rsid w:val="00F80338"/>
    <w:rsid w:val="00F81A93"/>
    <w:rsid w:val="00F84F93"/>
    <w:rsid w:val="00F8501D"/>
    <w:rsid w:val="00F93CD8"/>
    <w:rsid w:val="00FA12B9"/>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3764992"/>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0"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nhideWhenUsed="0" w:uiPriority="0" w:semiHidden="0" w:name="List Bullet"/>
    <w:lsdException w:unhideWhenUsed="0" w:uiPriority="0" w:semiHidden="0" w:name="List Number"/>
    <w:lsdException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qFormat="1" w:unhideWhenUsed="0" w:uiPriority="1"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5"/>
    <w:qFormat/>
    <w:uiPriority w:val="0"/>
    <w:pPr>
      <w:ind w:left="538"/>
      <w:outlineLvl w:val="0"/>
    </w:pPr>
    <w:rPr>
      <w:b/>
      <w:bCs/>
      <w:sz w:val="28"/>
      <w:szCs w:val="28"/>
    </w:rPr>
  </w:style>
  <w:style w:type="paragraph" w:styleId="4">
    <w:name w:val="heading 2"/>
    <w:basedOn w:val="1"/>
    <w:next w:val="1"/>
    <w:link w:val="56"/>
    <w:qFormat/>
    <w:uiPriority w:val="0"/>
    <w:pPr>
      <w:ind w:left="629"/>
      <w:outlineLvl w:val="1"/>
    </w:pPr>
    <w:rPr>
      <w:b/>
      <w:bCs/>
      <w:sz w:val="24"/>
      <w:szCs w:val="24"/>
    </w:rPr>
  </w:style>
  <w:style w:type="paragraph" w:styleId="5">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1"/>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1"/>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0"/>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5"/>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5"/>
    <w:qFormat/>
    <w:uiPriority w:val="1"/>
    <w:rPr>
      <w:sz w:val="24"/>
      <w:szCs w:val="24"/>
    </w:rPr>
  </w:style>
  <w:style w:type="paragraph" w:styleId="21">
    <w:name w:val="Body Text Indent"/>
    <w:basedOn w:val="1"/>
    <w:link w:val="89"/>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6"/>
    <w:qFormat/>
    <w:uiPriority w:val="99"/>
    <w:rPr>
      <w:rFonts w:hAnsi="Courier New" w:cs="Courier New"/>
      <w:szCs w:val="21"/>
    </w:rPr>
  </w:style>
  <w:style w:type="paragraph" w:styleId="26">
    <w:name w:val="toc 8"/>
    <w:basedOn w:val="1"/>
    <w:next w:val="1"/>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5"/>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4"/>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2"/>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7"/>
    <w:qFormat/>
    <w:uiPriority w:val="99"/>
    <w:pPr>
      <w:tabs>
        <w:tab w:val="center" w:pos="4153"/>
        <w:tab w:val="right" w:pos="8306"/>
      </w:tabs>
      <w:snapToGrid w:val="0"/>
    </w:pPr>
    <w:rPr>
      <w:sz w:val="18"/>
      <w:szCs w:val="18"/>
    </w:rPr>
  </w:style>
  <w:style w:type="paragraph" w:styleId="31">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3"/>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6"/>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2"/>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6"/>
    <w:unhideWhenUsed/>
    <w:uiPriority w:val="0"/>
    <w:pPr>
      <w:widowControl/>
      <w:autoSpaceDE/>
      <w:autoSpaceDN/>
      <w:spacing w:before="100" w:beforeAutospacing="1" w:after="100" w:afterAutospacing="1"/>
    </w:pPr>
    <w:rPr>
      <w:sz w:val="24"/>
      <w:szCs w:val="24"/>
      <w:lang w:eastAsia="zh-CN"/>
    </w:rPr>
  </w:style>
  <w:style w:type="paragraph" w:styleId="42">
    <w:name w:val="index 1"/>
    <w:basedOn w:val="1"/>
    <w:next w:val="1"/>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8"/>
    <w:uiPriority w:val="0"/>
    <w:pPr>
      <w:widowControl/>
    </w:pPr>
    <w:rPr>
      <w:b/>
      <w:bCs/>
      <w:sz w:val="24"/>
      <w:szCs w:val="24"/>
    </w:rPr>
  </w:style>
  <w:style w:type="paragraph" w:styleId="45">
    <w:name w:val="Body Text First Indent"/>
    <w:basedOn w:val="20"/>
    <w:link w:val="97"/>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uiPriority w:val="0"/>
  </w:style>
  <w:style w:type="character" w:styleId="51">
    <w:name w:val="FollowedHyperlink"/>
    <w:basedOn w:val="48"/>
    <w:uiPriority w:val="0"/>
    <w:rPr>
      <w:color w:val="800080"/>
      <w:u w:val="single"/>
    </w:rPr>
  </w:style>
  <w:style w:type="character" w:styleId="52">
    <w:name w:val="Emphasis"/>
    <w:basedOn w:val="48"/>
    <w:qFormat/>
    <w:uiPriority w:val="0"/>
  </w:style>
  <w:style w:type="character" w:styleId="53">
    <w:name w:val="Hyperlink"/>
    <w:basedOn w:val="48"/>
    <w:uiPriority w:val="0"/>
    <w:rPr>
      <w:color w:val="0000FF" w:themeColor="hyperlink"/>
      <w:u w:val="single"/>
    </w:rPr>
  </w:style>
  <w:style w:type="character" w:styleId="54">
    <w:name w:val="annotation reference"/>
    <w:basedOn w:val="48"/>
    <w:uiPriority w:val="0"/>
    <w:rPr>
      <w:sz w:val="21"/>
      <w:szCs w:val="21"/>
    </w:rPr>
  </w:style>
  <w:style w:type="character" w:customStyle="1" w:styleId="55">
    <w:name w:val="标题 1 Char"/>
    <w:basedOn w:val="48"/>
    <w:link w:val="3"/>
    <w:uiPriority w:val="0"/>
    <w:rPr>
      <w:rFonts w:ascii="宋体" w:hAnsi="宋体" w:cs="宋体"/>
      <w:b/>
      <w:bCs/>
      <w:sz w:val="28"/>
      <w:szCs w:val="28"/>
      <w:lang w:eastAsia="en-US"/>
    </w:rPr>
  </w:style>
  <w:style w:type="character" w:customStyle="1" w:styleId="56">
    <w:name w:val="标题 2 Char"/>
    <w:basedOn w:val="48"/>
    <w:link w:val="4"/>
    <w:uiPriority w:val="0"/>
    <w:rPr>
      <w:rFonts w:ascii="宋体" w:hAnsi="宋体" w:cs="宋体"/>
      <w:b/>
      <w:bCs/>
      <w:sz w:val="24"/>
      <w:szCs w:val="24"/>
      <w:lang w:eastAsia="en-US"/>
    </w:rPr>
  </w:style>
  <w:style w:type="character" w:customStyle="1" w:styleId="57">
    <w:name w:val="标题 3 Char"/>
    <w:basedOn w:val="48"/>
    <w:link w:val="5"/>
    <w:uiPriority w:val="0"/>
    <w:rPr>
      <w:b/>
      <w:bCs/>
      <w:kern w:val="2"/>
      <w:sz w:val="32"/>
      <w:szCs w:val="32"/>
    </w:rPr>
  </w:style>
  <w:style w:type="character" w:customStyle="1" w:styleId="58">
    <w:name w:val="标题 4 Char"/>
    <w:basedOn w:val="48"/>
    <w:link w:val="6"/>
    <w:uiPriority w:val="0"/>
    <w:rPr>
      <w:b/>
      <w:kern w:val="2"/>
      <w:sz w:val="24"/>
      <w:szCs w:val="24"/>
    </w:rPr>
  </w:style>
  <w:style w:type="character" w:customStyle="1" w:styleId="59">
    <w:name w:val="标题 5 Char"/>
    <w:basedOn w:val="48"/>
    <w:link w:val="7"/>
    <w:uiPriority w:val="0"/>
    <w:rPr>
      <w:b/>
      <w:bCs/>
      <w:kern w:val="2"/>
      <w:sz w:val="28"/>
      <w:szCs w:val="28"/>
    </w:rPr>
  </w:style>
  <w:style w:type="character" w:customStyle="1" w:styleId="60">
    <w:name w:val="标题 6 Char"/>
    <w:basedOn w:val="48"/>
    <w:link w:val="8"/>
    <w:uiPriority w:val="0"/>
    <w:rPr>
      <w:b/>
      <w:sz w:val="24"/>
    </w:rPr>
  </w:style>
  <w:style w:type="character" w:customStyle="1" w:styleId="61">
    <w:name w:val="正文缩进 Char"/>
    <w:basedOn w:val="48"/>
    <w:link w:val="10"/>
    <w:uiPriority w:val="0"/>
    <w:rPr>
      <w:sz w:val="24"/>
    </w:rPr>
  </w:style>
  <w:style w:type="character" w:customStyle="1" w:styleId="62">
    <w:name w:val="标题 7 Char"/>
    <w:basedOn w:val="48"/>
    <w:link w:val="9"/>
    <w:uiPriority w:val="0"/>
    <w:rPr>
      <w:b/>
      <w:kern w:val="2"/>
      <w:sz w:val="24"/>
    </w:rPr>
  </w:style>
  <w:style w:type="character" w:customStyle="1" w:styleId="63">
    <w:name w:val="标题 8 Char"/>
    <w:basedOn w:val="48"/>
    <w:link w:val="11"/>
    <w:uiPriority w:val="0"/>
    <w:rPr>
      <w:rFonts w:ascii="Arial" w:hAnsi="Arial" w:eastAsia="黑体"/>
      <w:kern w:val="2"/>
      <w:sz w:val="24"/>
    </w:rPr>
  </w:style>
  <w:style w:type="character" w:customStyle="1" w:styleId="64">
    <w:name w:val="标题 9 Char"/>
    <w:basedOn w:val="48"/>
    <w:link w:val="12"/>
    <w:uiPriority w:val="0"/>
    <w:rPr>
      <w:rFonts w:ascii="Arial" w:hAnsi="Arial" w:eastAsia="黑体"/>
      <w:kern w:val="2"/>
      <w:sz w:val="21"/>
    </w:rPr>
  </w:style>
  <w:style w:type="character" w:customStyle="1" w:styleId="65">
    <w:name w:val="正文文本 Char1"/>
    <w:basedOn w:val="48"/>
    <w:link w:val="20"/>
    <w:qFormat/>
    <w:uiPriority w:val="1"/>
    <w:rPr>
      <w:rFonts w:ascii="宋体" w:hAnsi="宋体" w:cs="宋体"/>
      <w:sz w:val="24"/>
      <w:szCs w:val="24"/>
      <w:lang w:eastAsia="en-US"/>
    </w:rPr>
  </w:style>
  <w:style w:type="character" w:customStyle="1" w:styleId="66">
    <w:name w:val="纯文本 Char"/>
    <w:basedOn w:val="48"/>
    <w:link w:val="25"/>
    <w:qFormat/>
    <w:uiPriority w:val="99"/>
    <w:rPr>
      <w:rFonts w:ascii="宋体" w:hAnsi="Courier New" w:cs="Courier New"/>
      <w:sz w:val="22"/>
      <w:szCs w:val="21"/>
      <w:lang w:eastAsia="en-US"/>
    </w:rPr>
  </w:style>
  <w:style w:type="character" w:customStyle="1" w:styleId="67">
    <w:name w:val="页脚 Char"/>
    <w:basedOn w:val="48"/>
    <w:link w:val="30"/>
    <w:uiPriority w:val="99"/>
    <w:rPr>
      <w:rFonts w:ascii="宋体" w:hAnsi="宋体" w:cs="宋体"/>
      <w:sz w:val="18"/>
      <w:szCs w:val="18"/>
      <w:lang w:eastAsia="en-US"/>
    </w:rPr>
  </w:style>
  <w:style w:type="character" w:customStyle="1" w:styleId="68">
    <w:name w:val="页眉 Char"/>
    <w:basedOn w:val="48"/>
    <w:link w:val="31"/>
    <w:uiPriority w:val="0"/>
    <w:rPr>
      <w:rFonts w:ascii="宋体" w:hAnsi="宋体" w:cs="宋体"/>
      <w:sz w:val="18"/>
      <w:szCs w:val="22"/>
      <w:lang w:eastAsia="en-US"/>
    </w:rPr>
  </w:style>
  <w:style w:type="table" w:customStyle="1" w:styleId="69">
    <w:name w:val="Table Normal"/>
    <w:semiHidden/>
    <w:unhideWhenUsed/>
    <w:qFormat/>
    <w:uiPriority w:val="2"/>
    <w:tblPr>
      <w:tblCellMar>
        <w:top w:w="0" w:type="dxa"/>
        <w:left w:w="0" w:type="dxa"/>
        <w:bottom w:w="0" w:type="dxa"/>
        <w:right w:w="0" w:type="dxa"/>
      </w:tblCellMar>
    </w:tblPr>
  </w:style>
  <w:style w:type="paragraph" w:styleId="70">
    <w:name w:val="List Paragraph"/>
    <w:basedOn w:val="1"/>
    <w:link w:val="204"/>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9"/>
    <w:uiPriority w:val="0"/>
    <w:rPr>
      <w:b/>
      <w:kern w:val="2"/>
      <w:sz w:val="21"/>
    </w:rPr>
  </w:style>
  <w:style w:type="character" w:customStyle="1" w:styleId="76">
    <w:name w:val="普通(网站) Char"/>
    <w:basedOn w:val="48"/>
    <w:link w:val="41"/>
    <w:locked/>
    <w:uiPriority w:val="0"/>
    <w:rPr>
      <w:rFonts w:ascii="宋体" w:hAnsi="宋体" w:cs="宋体"/>
      <w:sz w:val="24"/>
      <w:szCs w:val="24"/>
    </w:rPr>
  </w:style>
  <w:style w:type="character" w:customStyle="1" w:styleId="77">
    <w:name w:val="xdrichtextbox2"/>
    <w:basedOn w:val="48"/>
    <w:uiPriority w:val="0"/>
    <w:rPr>
      <w:color w:val="0000FF"/>
      <w:sz w:val="18"/>
      <w:szCs w:val="18"/>
      <w:u w:val="none"/>
      <w:bdr w:val="single" w:color="DCDCDC" w:sz="8" w:space="0"/>
      <w:shd w:val="clear" w:color="auto" w:fill="FFFFFF"/>
    </w:rPr>
  </w:style>
  <w:style w:type="character" w:customStyle="1" w:styleId="78">
    <w:name w:val="apple-converted-space"/>
    <w:basedOn w:val="48"/>
    <w:uiPriority w:val="0"/>
  </w:style>
  <w:style w:type="character" w:customStyle="1" w:styleId="79">
    <w:name w:val="无间隔 Char"/>
    <w:basedOn w:val="48"/>
    <w:link w:val="80"/>
    <w:uiPriority w:val="0"/>
    <w:rPr>
      <w:rFonts w:ascii="Calibri" w:hAnsi="Calibri"/>
      <w:sz w:val="22"/>
      <w:szCs w:val="22"/>
    </w:rPr>
  </w:style>
  <w:style w:type="paragraph" w:styleId="80">
    <w:name w:val="No Spacing"/>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7"/>
    <w:uiPriority w:val="0"/>
    <w:rPr>
      <w:kern w:val="2"/>
      <w:sz w:val="21"/>
    </w:rPr>
  </w:style>
  <w:style w:type="character" w:customStyle="1" w:styleId="82">
    <w:name w:val="批注框文本 Char"/>
    <w:basedOn w:val="48"/>
    <w:link w:val="29"/>
    <w:uiPriority w:val="0"/>
    <w:rPr>
      <w:kern w:val="2"/>
      <w:sz w:val="18"/>
      <w:szCs w:val="18"/>
    </w:rPr>
  </w:style>
  <w:style w:type="character" w:customStyle="1" w:styleId="83">
    <w:name w:val="正文文本缩进 3 Char"/>
    <w:basedOn w:val="48"/>
    <w:link w:val="35"/>
    <w:uiPriority w:val="0"/>
    <w:rPr>
      <w:kern w:val="2"/>
      <w:sz w:val="28"/>
    </w:rPr>
  </w:style>
  <w:style w:type="character" w:customStyle="1" w:styleId="84">
    <w:name w:val="正文文本缩进 2 Char"/>
    <w:basedOn w:val="48"/>
    <w:link w:val="28"/>
    <w:uiPriority w:val="0"/>
    <w:rPr>
      <w:rFonts w:ascii="宋体" w:hAnsi="宋体"/>
      <w:iCs/>
      <w:kern w:val="2"/>
      <w:sz w:val="24"/>
      <w:szCs w:val="24"/>
    </w:rPr>
  </w:style>
  <w:style w:type="character" w:customStyle="1" w:styleId="85">
    <w:name w:val="正文文本 Char"/>
    <w:basedOn w:val="48"/>
    <w:uiPriority w:val="0"/>
    <w:rPr>
      <w:rFonts w:eastAsia="宋体"/>
      <w:sz w:val="24"/>
      <w:szCs w:val="24"/>
      <w:lang w:val="en-US" w:eastAsia="zh-CN" w:bidi="ar-SA"/>
    </w:rPr>
  </w:style>
  <w:style w:type="character" w:customStyle="1" w:styleId="86">
    <w:name w:val="en1"/>
    <w:basedOn w:val="48"/>
    <w:uiPriority w:val="0"/>
    <w:rPr>
      <w:b/>
      <w:bCs/>
      <w:color w:val="154C7F"/>
      <w:sz w:val="24"/>
      <w:szCs w:val="24"/>
    </w:rPr>
  </w:style>
  <w:style w:type="character" w:customStyle="1" w:styleId="87">
    <w:name w:val="font01"/>
    <w:basedOn w:val="48"/>
    <w:uiPriority w:val="0"/>
    <w:rPr>
      <w:rFonts w:hint="eastAsia" w:ascii="宋体" w:hAnsi="宋体" w:eastAsia="宋体" w:cs="宋体"/>
      <w:color w:val="000000"/>
      <w:sz w:val="20"/>
      <w:szCs w:val="20"/>
      <w:u w:val="none"/>
    </w:rPr>
  </w:style>
  <w:style w:type="character" w:customStyle="1" w:styleId="88">
    <w:name w:val="标题 Char"/>
    <w:basedOn w:val="48"/>
    <w:link w:val="43"/>
    <w:uiPriority w:val="0"/>
    <w:rPr>
      <w:rFonts w:ascii="Arial" w:hAnsi="Arial" w:cs="Arial"/>
      <w:b/>
      <w:bCs/>
      <w:sz w:val="44"/>
      <w:szCs w:val="32"/>
    </w:rPr>
  </w:style>
  <w:style w:type="character" w:customStyle="1" w:styleId="89">
    <w:name w:val="正文文本缩进 Char"/>
    <w:basedOn w:val="48"/>
    <w:link w:val="21"/>
    <w:uiPriority w:val="0"/>
    <w:rPr>
      <w:i/>
      <w:iCs/>
      <w:kern w:val="2"/>
      <w:sz w:val="21"/>
    </w:rPr>
  </w:style>
  <w:style w:type="character" w:customStyle="1" w:styleId="90">
    <w:name w:val="正文文本 3 Char"/>
    <w:basedOn w:val="48"/>
    <w:link w:val="18"/>
    <w:uiPriority w:val="0"/>
    <w:rPr>
      <w:color w:val="0000FF"/>
      <w:kern w:val="2"/>
      <w:sz w:val="24"/>
      <w:szCs w:val="24"/>
    </w:rPr>
  </w:style>
  <w:style w:type="character" w:customStyle="1" w:styleId="91">
    <w:name w:val="font11"/>
    <w:basedOn w:val="48"/>
    <w:qFormat/>
    <w:uiPriority w:val="0"/>
    <w:rPr>
      <w:rFonts w:hint="default" w:ascii="Times New Roman" w:hAnsi="Times New Roman" w:cs="Times New Roman"/>
      <w:color w:val="000000"/>
      <w:sz w:val="20"/>
      <w:szCs w:val="20"/>
      <w:u w:val="none"/>
    </w:rPr>
  </w:style>
  <w:style w:type="character" w:customStyle="1" w:styleId="92">
    <w:name w:val="glossaryitem"/>
    <w:basedOn w:val="48"/>
    <w:uiPriority w:val="0"/>
    <w:rPr>
      <w:u w:val="none"/>
    </w:rPr>
  </w:style>
  <w:style w:type="character" w:customStyle="1" w:styleId="93">
    <w:name w:val="HTML 预设格式 Char"/>
    <w:basedOn w:val="48"/>
    <w:link w:val="40"/>
    <w:uiPriority w:val="0"/>
    <w:rPr>
      <w:rFonts w:ascii="Arial Unicode MS" w:hAnsi="Arial Unicode MS" w:eastAsia="Courier New" w:cs="Courier New"/>
    </w:rPr>
  </w:style>
  <w:style w:type="character" w:customStyle="1" w:styleId="94">
    <w:name w:val="文档结构图 Char"/>
    <w:basedOn w:val="48"/>
    <w:link w:val="16"/>
    <w:qFormat/>
    <w:uiPriority w:val="0"/>
    <w:rPr>
      <w:rFonts w:ascii="宋体"/>
      <w:sz w:val="28"/>
      <w:shd w:val="clear" w:color="auto" w:fill="000080"/>
    </w:rPr>
  </w:style>
  <w:style w:type="character" w:customStyle="1" w:styleId="95">
    <w:name w:val="日期 Char"/>
    <w:basedOn w:val="48"/>
    <w:link w:val="27"/>
    <w:uiPriority w:val="0"/>
    <w:rPr>
      <w:kern w:val="2"/>
      <w:sz w:val="21"/>
      <w:szCs w:val="24"/>
    </w:rPr>
  </w:style>
  <w:style w:type="character" w:customStyle="1" w:styleId="96">
    <w:name w:val="正文文本 2 Char"/>
    <w:basedOn w:val="48"/>
    <w:link w:val="38"/>
    <w:uiPriority w:val="0"/>
    <w:rPr>
      <w:kern w:val="2"/>
      <w:sz w:val="21"/>
      <w:szCs w:val="24"/>
    </w:rPr>
  </w:style>
  <w:style w:type="character" w:customStyle="1" w:styleId="97">
    <w:name w:val="正文首行缩进 Char"/>
    <w:basedOn w:val="85"/>
    <w:link w:val="45"/>
    <w:uiPriority w:val="0"/>
    <w:rPr>
      <w:rFonts w:eastAsia="宋体"/>
      <w:sz w:val="21"/>
      <w:szCs w:val="21"/>
      <w:lang w:val="en-US" w:eastAsia="zh-CN" w:bidi="ar-SA"/>
    </w:rPr>
  </w:style>
  <w:style w:type="character" w:customStyle="1" w:styleId="98">
    <w:name w:val="批注主题 Char"/>
    <w:basedOn w:val="81"/>
    <w:link w:val="44"/>
    <w:uiPriority w:val="0"/>
    <w:rPr>
      <w:b/>
      <w:bCs/>
      <w:kern w:val="2"/>
      <w:sz w:val="24"/>
      <w:szCs w:val="24"/>
    </w:rPr>
  </w:style>
  <w:style w:type="paragraph" w:customStyle="1" w:styleId="99">
    <w:name w:val="标题3(小3号)"/>
    <w:basedOn w:val="5"/>
    <w:next w:val="100"/>
    <w:uiPriority w:val="0"/>
    <w:pPr>
      <w:widowControl/>
      <w:spacing w:before="0" w:after="0" w:line="420" w:lineRule="exact"/>
    </w:pPr>
    <w:rPr>
      <w:b w:val="0"/>
      <w:bCs w:val="0"/>
      <w:color w:val="000000"/>
      <w:kern w:val="0"/>
      <w:sz w:val="30"/>
      <w:szCs w:val="21"/>
    </w:rPr>
  </w:style>
  <w:style w:type="paragraph" w:customStyle="1" w:styleId="100">
    <w:name w:val="正文小3号"/>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uiPriority w:val="0"/>
    <w:rPr>
      <w:rFonts w:ascii="宋体" w:hAnsi="宋体" w:cs="宋体"/>
      <w:sz w:val="24"/>
      <w:szCs w:val="24"/>
      <w:lang w:eastAsia="en-US"/>
    </w:rPr>
  </w:style>
  <w:style w:type="character" w:customStyle="1" w:styleId="102">
    <w:name w:val="信息标题 Char"/>
    <w:basedOn w:val="48"/>
    <w:link w:val="39"/>
    <w:uiPriority w:val="0"/>
    <w:rPr>
      <w:rFonts w:ascii="Arial" w:hAnsi="Arial" w:cs="Arial"/>
      <w:kern w:val="2"/>
      <w:sz w:val="24"/>
      <w:szCs w:val="24"/>
      <w:shd w:val="pct20" w:color="auto" w:fill="auto"/>
    </w:rPr>
  </w:style>
  <w:style w:type="character" w:customStyle="1" w:styleId="103">
    <w:name w:val="正文文本 3 Char1"/>
    <w:basedOn w:val="48"/>
    <w:uiPriority w:val="0"/>
    <w:rPr>
      <w:rFonts w:ascii="宋体" w:hAnsi="宋体" w:cs="宋体"/>
      <w:sz w:val="16"/>
      <w:szCs w:val="16"/>
      <w:lang w:eastAsia="en-US"/>
    </w:rPr>
  </w:style>
  <w:style w:type="paragraph" w:customStyle="1" w:styleId="104">
    <w:name w:val="封面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uiPriority w:val="0"/>
    <w:rPr>
      <w:rFonts w:ascii="宋体" w:hAnsi="宋体" w:cs="宋体"/>
      <w:sz w:val="22"/>
      <w:szCs w:val="22"/>
      <w:lang w:eastAsia="en-US"/>
    </w:rPr>
  </w:style>
  <w:style w:type="character" w:customStyle="1" w:styleId="107">
    <w:name w:val="批注文字 Char1"/>
    <w:basedOn w:val="48"/>
    <w:uiPriority w:val="0"/>
    <w:rPr>
      <w:rFonts w:ascii="宋体" w:hAnsi="宋体" w:cs="宋体"/>
      <w:sz w:val="22"/>
      <w:szCs w:val="22"/>
      <w:lang w:eastAsia="en-US"/>
    </w:rPr>
  </w:style>
  <w:style w:type="paragraph" w:customStyle="1" w:styleId="108">
    <w:name w:val="A"/>
    <w:basedOn w:val="1"/>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5"/>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uiPriority w:val="0"/>
    <w:rPr>
      <w:rFonts w:ascii="宋体" w:hAnsi="宋体" w:cs="宋体"/>
      <w:sz w:val="18"/>
      <w:szCs w:val="18"/>
      <w:lang w:eastAsia="en-US"/>
    </w:rPr>
  </w:style>
  <w:style w:type="character" w:customStyle="1" w:styleId="112">
    <w:name w:val="日期 Char1"/>
    <w:basedOn w:val="48"/>
    <w:uiPriority w:val="0"/>
    <w:rPr>
      <w:rFonts w:ascii="宋体" w:hAnsi="宋体" w:cs="宋体"/>
      <w:sz w:val="22"/>
      <w:szCs w:val="22"/>
      <w:lang w:eastAsia="en-US"/>
    </w:rPr>
  </w:style>
  <w:style w:type="paragraph" w:customStyle="1" w:styleId="113">
    <w:name w:val="标题3(3号)"/>
    <w:basedOn w:val="5"/>
    <w:next w:val="114"/>
    <w:uiPriority w:val="0"/>
    <w:pPr>
      <w:widowControl/>
      <w:spacing w:before="0" w:after="0" w:line="420" w:lineRule="exact"/>
    </w:pPr>
    <w:rPr>
      <w:b w:val="0"/>
      <w:bCs w:val="0"/>
      <w:color w:val="000000"/>
      <w:kern w:val="0"/>
      <w:szCs w:val="21"/>
    </w:rPr>
  </w:style>
  <w:style w:type="paragraph" w:customStyle="1" w:styleId="114">
    <w:name w:val="正文3号字"/>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uiPriority w:val="0"/>
    <w:rPr>
      <w:rFonts w:ascii="Courier New" w:hAnsi="Courier New" w:cs="Courier New"/>
      <w:lang w:eastAsia="en-US"/>
    </w:rPr>
  </w:style>
  <w:style w:type="character" w:customStyle="1" w:styleId="117">
    <w:name w:val="正文文本缩进 Char1"/>
    <w:basedOn w:val="48"/>
    <w:uiPriority w:val="0"/>
    <w:rPr>
      <w:rFonts w:ascii="宋体" w:hAnsi="宋体" w:cs="宋体"/>
      <w:sz w:val="22"/>
      <w:szCs w:val="22"/>
      <w:lang w:eastAsia="en-US"/>
    </w:rPr>
  </w:style>
  <w:style w:type="paragraph" w:customStyle="1" w:styleId="118">
    <w:name w:val="标题2(小3号)"/>
    <w:basedOn w:val="4"/>
    <w:next w:val="119"/>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3"/>
    <w:next w:val="114"/>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uiPriority w:val="0"/>
    <w:rPr>
      <w:rFonts w:ascii="宋体" w:hAnsi="宋体" w:cs="宋体"/>
      <w:sz w:val="22"/>
      <w:szCs w:val="22"/>
      <w:lang w:eastAsia="en-US"/>
    </w:rPr>
  </w:style>
  <w:style w:type="character" w:customStyle="1" w:styleId="125">
    <w:name w:val="标题 Char1"/>
    <w:basedOn w:val="48"/>
    <w:uiPriority w:val="0"/>
    <w:rPr>
      <w:rFonts w:asciiTheme="majorHAnsi" w:hAnsiTheme="majorHAnsi" w:cstheme="majorBidi"/>
      <w:b/>
      <w:bCs/>
      <w:sz w:val="32"/>
      <w:szCs w:val="32"/>
      <w:lang w:eastAsia="en-US"/>
    </w:rPr>
  </w:style>
  <w:style w:type="character" w:customStyle="1" w:styleId="126">
    <w:name w:val="正文文本缩进 3 Char1"/>
    <w:basedOn w:val="48"/>
    <w:uiPriority w:val="0"/>
    <w:rPr>
      <w:rFonts w:ascii="宋体" w:hAnsi="宋体" w:cs="宋体"/>
      <w:sz w:val="16"/>
      <w:szCs w:val="16"/>
      <w:lang w:eastAsia="en-US"/>
    </w:rPr>
  </w:style>
  <w:style w:type="paragraph" w:customStyle="1" w:styleId="127">
    <w:name w:val="标准"/>
    <w:basedOn w:val="1"/>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uiPriority w:val="0"/>
    <w:rPr>
      <w:rFonts w:ascii="宋体" w:hAnsi="宋体" w:cs="宋体"/>
      <w:sz w:val="18"/>
      <w:szCs w:val="18"/>
      <w:lang w:eastAsia="en-US"/>
    </w:rPr>
  </w:style>
  <w:style w:type="character" w:customStyle="1" w:styleId="130">
    <w:name w:val="批注主题 Char1"/>
    <w:basedOn w:val="107"/>
    <w:uiPriority w:val="0"/>
    <w:rPr>
      <w:rFonts w:ascii="宋体" w:hAnsi="宋体" w:cs="宋体"/>
      <w:b/>
      <w:bCs/>
      <w:sz w:val="22"/>
      <w:szCs w:val="22"/>
      <w:lang w:eastAsia="en-US"/>
    </w:rPr>
  </w:style>
  <w:style w:type="paragraph" w:customStyle="1" w:styleId="131">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5"/>
    <w:next w:val="119"/>
    <w:uiPriority w:val="0"/>
    <w:pPr>
      <w:widowControl/>
      <w:spacing w:before="0" w:after="0" w:line="420" w:lineRule="exact"/>
    </w:pPr>
    <w:rPr>
      <w:b w:val="0"/>
      <w:bCs w:val="0"/>
      <w:color w:val="000000"/>
      <w:kern w:val="0"/>
      <w:sz w:val="28"/>
      <w:szCs w:val="21"/>
    </w:rPr>
  </w:style>
  <w:style w:type="paragraph" w:customStyle="1" w:styleId="133">
    <w:name w:val="标题2"/>
    <w:basedOn w:val="4"/>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9"/>
    <w:next w:val="39"/>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4">
    <w:name w:val="正文2"/>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5"/>
    <w:next w:val="150"/>
    <w:uiPriority w:val="0"/>
    <w:pPr>
      <w:widowControl/>
      <w:spacing w:before="0" w:after="0" w:line="420" w:lineRule="exact"/>
    </w:pPr>
    <w:rPr>
      <w:b w:val="0"/>
      <w:bCs w:val="0"/>
      <w:color w:val="000000"/>
      <w:kern w:val="0"/>
      <w:sz w:val="24"/>
      <w:szCs w:val="21"/>
    </w:rPr>
  </w:style>
  <w:style w:type="paragraph" w:customStyle="1" w:styleId="150">
    <w:name w:val="正文小4号"/>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5"/>
    <w:next w:val="123"/>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4"/>
    <w:next w:val="114"/>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3"/>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3"/>
    <w:next w:val="123"/>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4"/>
    <w:next w:val="150"/>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uiPriority w:val="0"/>
    <w:pPr>
      <w:widowControl/>
      <w:autoSpaceDE/>
      <w:autoSpaceDN/>
      <w:spacing w:before="100" w:beforeAutospacing="1" w:after="100" w:afterAutospacing="1"/>
    </w:pPr>
    <w:rPr>
      <w:sz w:val="24"/>
      <w:szCs w:val="24"/>
      <w:lang w:eastAsia="zh-CN"/>
    </w:rPr>
  </w:style>
  <w:style w:type="paragraph" w:customStyle="1" w:styleId="164">
    <w:name w:val="p0"/>
    <w:basedOn w:val="1"/>
    <w:uiPriority w:val="0"/>
    <w:pPr>
      <w:widowControl/>
      <w:autoSpaceDE/>
      <w:autoSpaceDN/>
    </w:pPr>
    <w:rPr>
      <w:sz w:val="24"/>
      <w:szCs w:val="24"/>
      <w:lang w:eastAsia="zh-CN"/>
    </w:rPr>
  </w:style>
  <w:style w:type="paragraph" w:customStyle="1" w:styleId="165">
    <w:name w:val="字元 字元1"/>
    <w:basedOn w:val="1"/>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3"/>
    <w:next w:val="119"/>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3"/>
    <w:next w:val="150"/>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3"/>
    <w:next w:val="100"/>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uiPriority w:val="0"/>
    <w:pPr>
      <w:autoSpaceDE/>
      <w:autoSpaceDN/>
      <w:jc w:val="both"/>
    </w:pPr>
    <w:rPr>
      <w:rFonts w:cs="Times New Roman"/>
      <w:b/>
      <w:bCs/>
      <w:kern w:val="2"/>
      <w:sz w:val="28"/>
      <w:szCs w:val="20"/>
      <w:lang w:eastAsia="zh-CN"/>
    </w:rPr>
  </w:style>
  <w:style w:type="paragraph" w:customStyle="1" w:styleId="175">
    <w:name w:val="标题2(3号)"/>
    <w:basedOn w:val="4"/>
    <w:next w:val="100"/>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4"/>
    <w:next w:val="123"/>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6"/>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uiPriority w:val="0"/>
    <w:pPr>
      <w:numPr>
        <w:ilvl w:val="3"/>
      </w:numPr>
      <w:outlineLvl w:val="3"/>
    </w:pPr>
  </w:style>
  <w:style w:type="paragraph" w:customStyle="1" w:styleId="184">
    <w:name w:val="大纲5"/>
    <w:basedOn w:val="183"/>
    <w:uiPriority w:val="0"/>
    <w:pPr>
      <w:numPr>
        <w:ilvl w:val="4"/>
      </w:numPr>
      <w:tabs>
        <w:tab w:val="left" w:pos="360"/>
      </w:tabs>
      <w:outlineLvl w:val="4"/>
    </w:pPr>
    <w:rPr>
      <w:b w:val="0"/>
      <w:szCs w:val="36"/>
    </w:rPr>
  </w:style>
  <w:style w:type="paragraph" w:customStyle="1" w:styleId="185">
    <w:name w:val="大纲6"/>
    <w:basedOn w:val="184"/>
    <w:uiPriority w:val="0"/>
    <w:pPr>
      <w:numPr>
        <w:ilvl w:val="5"/>
      </w:numPr>
      <w:outlineLvl w:val="5"/>
    </w:pPr>
    <w:rPr>
      <w:rFonts w:ascii="宋体"/>
      <w:szCs w:val="24"/>
    </w:rPr>
  </w:style>
  <w:style w:type="paragraph" w:customStyle="1" w:styleId="186">
    <w:name w:val="Char1 Char Char Char1"/>
    <w:basedOn w:val="1"/>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uiPriority w:val="0"/>
    <w:pPr>
      <w:autoSpaceDE/>
      <w:autoSpaceDN/>
      <w:jc w:val="both"/>
    </w:pPr>
    <w:rPr>
      <w:rFonts w:ascii="Calibri" w:hAnsi="Calibri" w:cs="Times New Roman"/>
      <w:kern w:val="2"/>
      <w:sz w:val="21"/>
      <w:szCs w:val="24"/>
      <w:lang w:eastAsia="zh-CN"/>
    </w:rPr>
  </w:style>
  <w:style w:type="paragraph" w:customStyle="1" w:styleId="191">
    <w:name w:val="正文3"/>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8"/>
    <w:uiPriority w:val="0"/>
  </w:style>
  <w:style w:type="character" w:customStyle="1" w:styleId="203">
    <w:name w:val="xdrichtextbox3"/>
    <w:basedOn w:val="48"/>
    <w:uiPriority w:val="0"/>
    <w:rPr>
      <w:color w:val="auto"/>
      <w:u w:val="none"/>
      <w:bdr w:val="single" w:color="DCDCDC" w:sz="8" w:space="0"/>
      <w:shd w:val="clear" w:color="auto" w:fill="FFFFFF"/>
    </w:rPr>
  </w:style>
  <w:style w:type="character" w:customStyle="1" w:styleId="204">
    <w:name w:val="列出段落 Char"/>
    <w:link w:val="70"/>
    <w:uiPriority w:val="34"/>
    <w:rPr>
      <w:rFonts w:ascii="宋体" w:hAnsi="宋体" w:cs="宋体"/>
      <w:sz w:val="22"/>
      <w:szCs w:val="22"/>
      <w:lang w:eastAsia="en-US"/>
    </w:rPr>
  </w:style>
  <w:style w:type="character" w:customStyle="1" w:styleId="205">
    <w:name w:val="列表段落 字符"/>
    <w:link w:val="206"/>
    <w:uiPriority w:val="34"/>
  </w:style>
  <w:style w:type="paragraph" w:customStyle="1" w:styleId="206">
    <w:name w:val="_Style 205"/>
    <w:basedOn w:val="1"/>
    <w:next w:val="70"/>
    <w:link w:val="205"/>
    <w:qFormat/>
    <w:uiPriority w:val="34"/>
    <w:pPr>
      <w:autoSpaceDE/>
      <w:autoSpaceDN/>
      <w:ind w:firstLine="420" w:firstLineChars="200"/>
      <w:jc w:val="both"/>
    </w:pPr>
    <w:rPr>
      <w:rFonts w:ascii="Times New Roman" w:hAnsi="Times New Roman" w:cs="Times New Roman"/>
      <w:sz w:val="20"/>
      <w:szCs w:val="20"/>
      <w:lang w:eastAsia="zh-CN"/>
    </w:rPr>
  </w:style>
  <w:style w:type="paragraph" w:customStyle="1" w:styleId="207">
    <w:name w:val="_Style 206"/>
    <w:basedOn w:val="1"/>
    <w:next w:val="70"/>
    <w:qFormat/>
    <w:uiPriority w:val="34"/>
    <w:pPr>
      <w:autoSpaceDE/>
      <w:autoSpaceDN/>
      <w:ind w:firstLine="420" w:firstLineChars="200"/>
      <w:jc w:val="both"/>
    </w:pPr>
    <w:rPr>
      <w:rFonts w:ascii="Times New Roman" w:hAnsi="Times New Roman" w:cs="Times New Roman"/>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6"/>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9E04EB-D50F-41EE-9D98-0343576F793D}">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35</Pages>
  <Words>9635</Words>
  <Characters>11137</Characters>
  <Lines>103</Lines>
  <Paragraphs>29</Paragraphs>
  <TotalTime>5795</TotalTime>
  <ScaleCrop>false</ScaleCrop>
  <LinksUpToDate>false</LinksUpToDate>
  <CharactersWithSpaces>12201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企业用户_290079531</cp:lastModifiedBy>
  <dcterms:modified xsi:type="dcterms:W3CDTF">2024-12-09T01:16:09Z</dcterms:modified>
  <dc:title>公开招标文件（货物服务类）</dc:title>
  <cp:revision>425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2052-12.1.0.19302</vt:lpwstr>
  </property>
  <property fmtid="{D5CDD505-2E9C-101B-9397-08002B2CF9AE}" pid="6" name="ICV">
    <vt:lpwstr>2A4F8095383248B199133AFB5BEC5545_12</vt:lpwstr>
  </property>
</Properties>
</file>